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ED808" w14:textId="241E75E6" w:rsidR="001B031F" w:rsidRPr="008C39F7" w:rsidRDefault="001B031F" w:rsidP="001B031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EE422F">
        <w:rPr>
          <w:rFonts w:ascii="Arial" w:eastAsia="SimSun" w:hAnsi="Arial" w:cs="Arial"/>
          <w:b/>
          <w:sz w:val="24"/>
          <w:szCs w:val="24"/>
        </w:rPr>
        <w:t>3GPP TSG-RAN WG4 Meeting #10</w:t>
      </w:r>
      <w:r>
        <w:rPr>
          <w:rFonts w:ascii="Arial" w:eastAsia="SimSun" w:hAnsi="Arial" w:cs="Arial"/>
          <w:b/>
          <w:sz w:val="24"/>
          <w:szCs w:val="24"/>
        </w:rPr>
        <w:t>8bis</w:t>
      </w:r>
      <w:r w:rsidRPr="00EE422F">
        <w:rPr>
          <w:rFonts w:ascii="Arial" w:eastAsia="SimSun" w:hAnsi="Arial" w:cs="Arial"/>
          <w:b/>
          <w:sz w:val="24"/>
          <w:szCs w:val="24"/>
        </w:rPr>
        <w:t xml:space="preserve"> </w:t>
      </w:r>
      <w:r w:rsidRPr="00EE422F">
        <w:rPr>
          <w:rFonts w:ascii="Arial" w:eastAsia="SimSun" w:hAnsi="Arial" w:cs="Arial"/>
          <w:b/>
          <w:sz w:val="24"/>
          <w:szCs w:val="24"/>
        </w:rPr>
        <w:tab/>
      </w:r>
      <w:r w:rsidR="00774280" w:rsidRPr="00774280">
        <w:rPr>
          <w:rFonts w:ascii="Arial" w:eastAsia="SimSun" w:hAnsi="Arial" w:cs="Arial"/>
          <w:b/>
          <w:sz w:val="24"/>
          <w:szCs w:val="24"/>
        </w:rPr>
        <w:t>R4-2315928</w:t>
      </w:r>
    </w:p>
    <w:p w14:paraId="51629228" w14:textId="77777777" w:rsidR="001B031F" w:rsidRPr="008C39F7" w:rsidRDefault="001B031F" w:rsidP="001B031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Pr="008C39F7">
        <w:rPr>
          <w:rFonts w:ascii="Arial" w:eastAsia="SimSun" w:hAnsi="Arial" w:cs="Times New Roman"/>
          <w:b/>
          <w:sz w:val="24"/>
          <w:szCs w:val="20"/>
        </w:rPr>
        <w:t xml:space="preserve">, </w:t>
      </w:r>
      <w:r>
        <w:rPr>
          <w:rFonts w:ascii="Arial" w:eastAsia="SimSun" w:hAnsi="Arial" w:cs="Times New Roman"/>
          <w:b/>
          <w:sz w:val="24"/>
          <w:szCs w:val="20"/>
        </w:rPr>
        <w:t>China</w:t>
      </w:r>
      <w:r w:rsidRPr="008C39F7">
        <w:rPr>
          <w:rFonts w:ascii="Arial" w:eastAsia="SimSun" w:hAnsi="Arial" w:cs="Times New Roman"/>
          <w:b/>
          <w:sz w:val="24"/>
          <w:szCs w:val="20"/>
        </w:rPr>
        <w:t>,</w:t>
      </w:r>
      <w:r>
        <w:rPr>
          <w:rFonts w:ascii="Arial" w:eastAsia="SimSun" w:hAnsi="Arial" w:cs="Times New Roman"/>
          <w:b/>
          <w:sz w:val="24"/>
          <w:szCs w:val="20"/>
        </w:rPr>
        <w:t xml:space="preserve"> October</w:t>
      </w:r>
      <w:r w:rsidRPr="008C39F7">
        <w:rPr>
          <w:rFonts w:ascii="Arial" w:eastAsia="SimSun" w:hAnsi="Arial" w:cs="Times New Roman"/>
          <w:b/>
          <w:sz w:val="24"/>
          <w:szCs w:val="20"/>
        </w:rPr>
        <w:t xml:space="preserve"> </w:t>
      </w:r>
      <w:r>
        <w:rPr>
          <w:rFonts w:ascii="Arial" w:eastAsia="SimSun" w:hAnsi="Arial" w:cs="Times New Roman"/>
          <w:b/>
          <w:sz w:val="24"/>
          <w:szCs w:val="20"/>
        </w:rPr>
        <w:t>09</w:t>
      </w:r>
      <w:r w:rsidRPr="008C39F7">
        <w:rPr>
          <w:rFonts w:ascii="Arial" w:eastAsia="SimSun" w:hAnsi="Arial" w:cs="Times New Roman"/>
          <w:b/>
          <w:sz w:val="24"/>
          <w:szCs w:val="20"/>
        </w:rPr>
        <w:t xml:space="preserve"> – </w:t>
      </w:r>
      <w:r>
        <w:rPr>
          <w:rFonts w:ascii="Arial" w:eastAsia="SimSun" w:hAnsi="Arial" w:cs="Times New Roman"/>
          <w:b/>
          <w:sz w:val="24"/>
          <w:szCs w:val="20"/>
        </w:rPr>
        <w:t>13</w:t>
      </w:r>
      <w:r w:rsidRPr="008C39F7">
        <w:rPr>
          <w:rFonts w:ascii="Arial" w:eastAsia="SimSun" w:hAnsi="Arial" w:cs="Times New Roman"/>
          <w:b/>
          <w:sz w:val="24"/>
          <w:szCs w:val="20"/>
        </w:rPr>
        <w:t>, 2023</w:t>
      </w:r>
    </w:p>
    <w:p w14:paraId="0DE72CA1" w14:textId="77777777" w:rsidR="00020648" w:rsidRPr="00123A66" w:rsidRDefault="00020648"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8BDB22" w14:textId="77777777" w:rsidR="00841BCD" w:rsidRPr="00123A66" w:rsidRDefault="00841BCD" w:rsidP="00841BCD">
      <w:pPr>
        <w:tabs>
          <w:tab w:val="left" w:pos="1985"/>
        </w:tabs>
        <w:ind w:left="1985" w:hanging="1985"/>
        <w:rPr>
          <w:rFonts w:ascii="Arial" w:eastAsia="Calibri" w:hAnsi="Arial" w:cs="Arial"/>
          <w:b/>
          <w:bCs/>
          <w:sz w:val="24"/>
        </w:rPr>
      </w:pPr>
      <w:r w:rsidRPr="00123A66">
        <w:rPr>
          <w:rFonts w:ascii="Arial" w:eastAsia="Calibri" w:hAnsi="Arial" w:cs="Arial"/>
          <w:b/>
          <w:bCs/>
          <w:sz w:val="24"/>
        </w:rPr>
        <w:t>Source:</w:t>
      </w:r>
      <w:r w:rsidRPr="00123A66">
        <w:rPr>
          <w:rFonts w:ascii="Arial" w:eastAsia="Calibri" w:hAnsi="Arial" w:cs="Arial"/>
          <w:b/>
          <w:bCs/>
          <w:sz w:val="24"/>
        </w:rPr>
        <w:tab/>
        <w:t xml:space="preserve">Nokia, </w:t>
      </w:r>
      <w:r w:rsidR="0043750A" w:rsidRPr="00123A66">
        <w:rPr>
          <w:rFonts w:ascii="Arial" w:eastAsia="Calibri" w:hAnsi="Arial" w:cs="Arial"/>
          <w:b/>
          <w:bCs/>
          <w:sz w:val="24"/>
        </w:rPr>
        <w:t>Nokia</w:t>
      </w:r>
      <w:r w:rsidRPr="00123A66">
        <w:rPr>
          <w:rFonts w:ascii="Arial" w:eastAsia="Calibri" w:hAnsi="Arial" w:cs="Arial"/>
          <w:b/>
          <w:bCs/>
          <w:sz w:val="24"/>
        </w:rPr>
        <w:t xml:space="preserve"> Shanghai Bell</w:t>
      </w:r>
    </w:p>
    <w:p w14:paraId="196266F8" w14:textId="443BC661" w:rsidR="00841BCD" w:rsidRPr="00123A66" w:rsidRDefault="00841BCD" w:rsidP="00841BCD">
      <w:pPr>
        <w:ind w:left="1985" w:hanging="1985"/>
        <w:rPr>
          <w:rFonts w:ascii="Arial" w:eastAsia="Calibri" w:hAnsi="Arial" w:cs="Arial"/>
          <w:b/>
          <w:bCs/>
          <w:sz w:val="24"/>
        </w:rPr>
      </w:pPr>
      <w:r w:rsidRPr="00123A66">
        <w:rPr>
          <w:rFonts w:ascii="Arial" w:eastAsia="Calibri" w:hAnsi="Arial" w:cs="Arial"/>
          <w:b/>
          <w:bCs/>
          <w:sz w:val="24"/>
        </w:rPr>
        <w:t>Title:</w:t>
      </w:r>
      <w:r w:rsidRPr="00123A66">
        <w:rPr>
          <w:rFonts w:ascii="Arial" w:eastAsia="Calibri" w:hAnsi="Arial" w:cs="Arial"/>
          <w:b/>
          <w:bCs/>
          <w:sz w:val="24"/>
        </w:rPr>
        <w:tab/>
      </w:r>
      <w:r w:rsidR="00774280" w:rsidRPr="00774280">
        <w:rPr>
          <w:rFonts w:ascii="Arial" w:eastAsia="Calibri" w:hAnsi="Arial" w:cs="Arial"/>
          <w:b/>
          <w:bCs/>
          <w:sz w:val="24"/>
        </w:rPr>
        <w:t>Discussion on LTM general aspects</w:t>
      </w:r>
    </w:p>
    <w:p w14:paraId="6F14F3BC" w14:textId="08521FDB" w:rsidR="00841BCD" w:rsidRPr="00123A66" w:rsidRDefault="00841BCD" w:rsidP="00841BCD">
      <w:pPr>
        <w:tabs>
          <w:tab w:val="left" w:pos="1985"/>
        </w:tabs>
        <w:spacing w:after="120" w:line="240" w:lineRule="auto"/>
        <w:rPr>
          <w:rFonts w:ascii="Arial" w:eastAsia="MS Mincho" w:hAnsi="Arial" w:cs="Arial"/>
          <w:b/>
          <w:bCs/>
          <w:sz w:val="24"/>
          <w:szCs w:val="20"/>
        </w:rPr>
      </w:pPr>
      <w:r w:rsidRPr="00123A66">
        <w:rPr>
          <w:rFonts w:ascii="Arial" w:eastAsia="MS Mincho" w:hAnsi="Arial" w:cs="Arial"/>
          <w:b/>
          <w:bCs/>
          <w:sz w:val="24"/>
          <w:szCs w:val="20"/>
        </w:rPr>
        <w:t>Agenda item:</w:t>
      </w:r>
      <w:r w:rsidRPr="00123A66">
        <w:rPr>
          <w:rFonts w:ascii="Arial" w:eastAsia="MS Mincho" w:hAnsi="Arial" w:cs="Arial"/>
          <w:b/>
          <w:bCs/>
          <w:sz w:val="24"/>
          <w:szCs w:val="20"/>
        </w:rPr>
        <w:tab/>
      </w:r>
      <w:r w:rsidR="00C20277" w:rsidRPr="00C20277">
        <w:rPr>
          <w:rFonts w:ascii="Arial" w:eastAsia="MS Mincho" w:hAnsi="Arial" w:cs="Arial"/>
          <w:b/>
          <w:bCs/>
          <w:sz w:val="24"/>
          <w:szCs w:val="20"/>
        </w:rPr>
        <w:t>5.24.2.1.1</w:t>
      </w:r>
    </w:p>
    <w:p w14:paraId="11D7639E" w14:textId="77777777" w:rsidR="00D66188" w:rsidRPr="00123A66" w:rsidRDefault="00841BCD" w:rsidP="00841BCD">
      <w:pPr>
        <w:tabs>
          <w:tab w:val="left" w:pos="1985"/>
        </w:tabs>
        <w:rPr>
          <w:rFonts w:ascii="Arial" w:eastAsia="Calibri" w:hAnsi="Arial" w:cs="Arial"/>
          <w:b/>
          <w:bCs/>
          <w:sz w:val="24"/>
        </w:rPr>
      </w:pPr>
      <w:r w:rsidRPr="00123A66">
        <w:rPr>
          <w:rFonts w:ascii="Arial" w:eastAsia="Calibri" w:hAnsi="Arial" w:cs="Arial"/>
          <w:b/>
          <w:bCs/>
          <w:sz w:val="24"/>
        </w:rPr>
        <w:t>Document for:</w:t>
      </w:r>
      <w:r w:rsidRPr="00123A66">
        <w:rPr>
          <w:rFonts w:ascii="Arial" w:eastAsia="Calibri" w:hAnsi="Arial" w:cs="Arial"/>
          <w:b/>
          <w:bCs/>
          <w:sz w:val="24"/>
        </w:rPr>
        <w:tab/>
      </w:r>
      <w:r w:rsidR="00AE6D09" w:rsidRPr="00123A66">
        <w:rPr>
          <w:rFonts w:ascii="Arial" w:eastAsia="Calibri" w:hAnsi="Arial" w:cs="Arial"/>
          <w:b/>
          <w:bCs/>
          <w:sz w:val="24"/>
        </w:rPr>
        <w:t>Discussion</w:t>
      </w:r>
    </w:p>
    <w:p w14:paraId="4276EB6D" w14:textId="77777777" w:rsidR="00841BCD" w:rsidRPr="008C39F7" w:rsidRDefault="00841BCD" w:rsidP="00DD5CBA">
      <w:pPr>
        <w:pStyle w:val="RAN4H1"/>
      </w:pPr>
      <w:bookmarkStart w:id="0" w:name="_Toc116995841"/>
      <w:r w:rsidRPr="008C39F7">
        <w:t>Intro</w:t>
      </w:r>
      <w:r w:rsidRPr="008C39F7">
        <w:rPr>
          <w:rStyle w:val="RAN4H1Char"/>
        </w:rPr>
        <w:t>ductio</w:t>
      </w:r>
      <w:r w:rsidRPr="008C39F7">
        <w:t>n</w:t>
      </w:r>
      <w:bookmarkEnd w:id="0"/>
    </w:p>
    <w:p w14:paraId="6DB5C553" w14:textId="40E132A4" w:rsidR="005D1624" w:rsidRDefault="00160FC3" w:rsidP="005D1624">
      <w:r w:rsidRPr="00160FC3">
        <w:rPr>
          <w:lang w:val="en-GB"/>
        </w:rPr>
        <w:t xml:space="preserve">In this contribution we discuss </w:t>
      </w:r>
      <w:r w:rsidR="004D4414">
        <w:rPr>
          <w:lang w:val="en-GB"/>
        </w:rPr>
        <w:t xml:space="preserve">some of the </w:t>
      </w:r>
      <w:r w:rsidR="00476B7A">
        <w:rPr>
          <w:lang w:val="en-GB"/>
        </w:rPr>
        <w:t>open issues related to general</w:t>
      </w:r>
      <w:r w:rsidRPr="00160FC3">
        <w:rPr>
          <w:lang w:val="en-GB"/>
        </w:rPr>
        <w:t xml:space="preserve"> aspects </w:t>
      </w:r>
      <w:r w:rsidR="004D0803">
        <w:rPr>
          <w:lang w:val="en-GB"/>
        </w:rPr>
        <w:t>of</w:t>
      </w:r>
      <w:r w:rsidRPr="00160FC3">
        <w:rPr>
          <w:lang w:val="en-GB"/>
        </w:rPr>
        <w:t xml:space="preserve"> LTM</w:t>
      </w:r>
      <w:r w:rsidR="004D0803">
        <w:rPr>
          <w:lang w:val="en-GB"/>
        </w:rPr>
        <w:t>.</w:t>
      </w:r>
    </w:p>
    <w:p w14:paraId="005621FF" w14:textId="1511F48D" w:rsidR="00D70041" w:rsidRDefault="00D70041" w:rsidP="00D70041">
      <w:pPr>
        <w:pStyle w:val="RAN4H1"/>
      </w:pPr>
      <w:r>
        <w:t>Early TCI state activation for LTM candidate cell</w:t>
      </w:r>
    </w:p>
    <w:p w14:paraId="5325A8CE" w14:textId="2056EA1E" w:rsidR="00774280" w:rsidRPr="00774280" w:rsidRDefault="00774280" w:rsidP="00774280">
      <w:r>
        <w:t>The following issues were included in the WF for part 1 of the furt</w:t>
      </w:r>
      <w:r w:rsidR="0029156C">
        <w:t xml:space="preserve">her mobility enhancements WI in RAN4#108 meeting in </w:t>
      </w:r>
      <w:r w:rsidR="00C37F8E">
        <w:t>[1].</w:t>
      </w:r>
    </w:p>
    <w:tbl>
      <w:tblPr>
        <w:tblStyle w:val="TableGrid"/>
        <w:tblW w:w="0" w:type="auto"/>
        <w:tblLook w:val="04A0" w:firstRow="1" w:lastRow="0" w:firstColumn="1" w:lastColumn="0" w:noHBand="0" w:noVBand="1"/>
      </w:tblPr>
      <w:tblGrid>
        <w:gridCol w:w="9617"/>
      </w:tblGrid>
      <w:tr w:rsidR="00D70041" w14:paraId="3A152033" w14:textId="77777777" w:rsidTr="00D70041">
        <w:tc>
          <w:tcPr>
            <w:tcW w:w="9617" w:type="dxa"/>
          </w:tcPr>
          <w:p w14:paraId="578112FA" w14:textId="77777777" w:rsidR="00D70041" w:rsidRDefault="00D70041" w:rsidP="00D70041">
            <w:pPr>
              <w:rPr>
                <w:b/>
                <w:u w:val="single"/>
                <w:lang w:eastAsia="zh-CN"/>
              </w:rPr>
            </w:pPr>
            <w:r>
              <w:rPr>
                <w:b/>
                <w:u w:val="single"/>
                <w:lang w:eastAsia="ko-KR"/>
              </w:rPr>
              <w:t xml:space="preserve">Issue 1-1-2: UE </w:t>
            </w:r>
            <w:proofErr w:type="spellStart"/>
            <w:r>
              <w:rPr>
                <w:b/>
                <w:u w:val="single"/>
                <w:lang w:eastAsia="ko-KR"/>
              </w:rPr>
              <w:t>behaviour</w:t>
            </w:r>
            <w:proofErr w:type="spellEnd"/>
            <w:r>
              <w:rPr>
                <w:b/>
                <w:u w:val="single"/>
                <w:lang w:eastAsia="ko-KR"/>
              </w:rPr>
              <w:t xml:space="preserve"> upon reception of TCI state activation of </w:t>
            </w:r>
            <w:proofErr w:type="spellStart"/>
            <w:r>
              <w:rPr>
                <w:b/>
                <w:u w:val="single"/>
                <w:lang w:eastAsia="ko-KR"/>
              </w:rPr>
              <w:t>neighbour</w:t>
            </w:r>
            <w:proofErr w:type="spellEnd"/>
            <w:r>
              <w:rPr>
                <w:b/>
                <w:u w:val="single"/>
                <w:lang w:eastAsia="ko-KR"/>
              </w:rPr>
              <w:t xml:space="preserve"> cell</w:t>
            </w:r>
            <w:r>
              <w:rPr>
                <w:b/>
                <w:u w:val="single"/>
                <w:lang w:eastAsia="zh-CN"/>
              </w:rPr>
              <w:t xml:space="preserve"> before cell switch command</w:t>
            </w:r>
          </w:p>
          <w:p w14:paraId="0DC1E17B" w14:textId="77777777" w:rsidR="00D70041" w:rsidRDefault="00D70041" w:rsidP="00D70041">
            <w:pPr>
              <w:spacing w:after="120"/>
              <w:rPr>
                <w:rFonts w:eastAsia="SimSun"/>
                <w:b/>
                <w:bCs/>
                <w:szCs w:val="24"/>
                <w:lang w:eastAsia="zh-CN"/>
              </w:rPr>
            </w:pPr>
            <w:r>
              <w:rPr>
                <w:rFonts w:eastAsia="SimSun"/>
                <w:b/>
                <w:bCs/>
                <w:szCs w:val="24"/>
                <w:lang w:eastAsia="zh-CN"/>
              </w:rPr>
              <w:t>&lt;Way Forward&gt;</w:t>
            </w:r>
          </w:p>
          <w:p w14:paraId="61F3EB4C" w14:textId="77777777" w:rsidR="00D70041" w:rsidRDefault="00D70041" w:rsidP="00895105">
            <w:pPr>
              <w:pStyle w:val="ListParagraph"/>
              <w:numPr>
                <w:ilvl w:val="1"/>
                <w:numId w:val="7"/>
              </w:numPr>
              <w:spacing w:after="120" w:line="256" w:lineRule="auto"/>
              <w:ind w:left="1440"/>
              <w:contextualSpacing w:val="0"/>
              <w:jc w:val="left"/>
              <w:rPr>
                <w:rFonts w:eastAsia="SimSun"/>
                <w:szCs w:val="24"/>
                <w:lang w:eastAsia="zh-CN"/>
              </w:rPr>
            </w:pPr>
            <w:r>
              <w:rPr>
                <w:szCs w:val="24"/>
                <w:lang w:eastAsia="zh-CN"/>
              </w:rPr>
              <w:t xml:space="preserve">After the TCI state of a </w:t>
            </w:r>
            <w:proofErr w:type="spellStart"/>
            <w:r>
              <w:rPr>
                <w:szCs w:val="24"/>
                <w:lang w:eastAsia="zh-CN"/>
              </w:rPr>
              <w:t>neighbour</w:t>
            </w:r>
            <w:proofErr w:type="spellEnd"/>
            <w:r>
              <w:rPr>
                <w:szCs w:val="24"/>
                <w:lang w:eastAsia="zh-CN"/>
              </w:rPr>
              <w:t xml:space="preserve"> cell is activated, UE performs SSB based T/F tracking, and UE is not required to activate the corresponding BWP.</w:t>
            </w:r>
          </w:p>
          <w:p w14:paraId="6596A49D" w14:textId="77777777" w:rsidR="00D70041" w:rsidRDefault="00D70041" w:rsidP="00D70041">
            <w:pPr>
              <w:pStyle w:val="ListParagraph"/>
              <w:spacing w:after="120"/>
              <w:ind w:left="1440"/>
              <w:rPr>
                <w:rFonts w:eastAsia="SimSun"/>
                <w:szCs w:val="24"/>
                <w:lang w:eastAsia="zh-CN"/>
              </w:rPr>
            </w:pPr>
          </w:p>
          <w:p w14:paraId="5F360B5A" w14:textId="77777777" w:rsidR="00D70041" w:rsidRDefault="00D70041" w:rsidP="00D70041">
            <w:pPr>
              <w:rPr>
                <w:b/>
                <w:u w:val="single"/>
                <w:lang w:eastAsia="zh-CN"/>
              </w:rPr>
            </w:pPr>
            <w:r>
              <w:rPr>
                <w:b/>
                <w:u w:val="single"/>
                <w:lang w:eastAsia="ko-KR"/>
              </w:rPr>
              <w:t xml:space="preserve">Issue 1-1-3: </w:t>
            </w:r>
            <w:r>
              <w:rPr>
                <w:b/>
                <w:u w:val="single"/>
                <w:lang w:eastAsia="zh-CN"/>
              </w:rPr>
              <w:t>Whether</w:t>
            </w:r>
            <w:r>
              <w:rPr>
                <w:b/>
                <w:u w:val="single"/>
                <w:lang w:eastAsia="ko-KR"/>
              </w:rPr>
              <w:t xml:space="preserve"> to define TCI state switching delay requirements for TCI state activation of </w:t>
            </w:r>
            <w:proofErr w:type="spellStart"/>
            <w:r>
              <w:rPr>
                <w:b/>
                <w:u w:val="single"/>
                <w:lang w:eastAsia="ko-KR"/>
              </w:rPr>
              <w:t>neighbour</w:t>
            </w:r>
            <w:proofErr w:type="spellEnd"/>
            <w:r>
              <w:rPr>
                <w:b/>
                <w:u w:val="single"/>
                <w:lang w:eastAsia="ko-KR"/>
              </w:rPr>
              <w:t xml:space="preserve"> cell</w:t>
            </w:r>
            <w:r>
              <w:rPr>
                <w:b/>
                <w:u w:val="single"/>
                <w:lang w:eastAsia="zh-CN"/>
              </w:rPr>
              <w:t xml:space="preserve"> before cell switch command</w:t>
            </w:r>
          </w:p>
          <w:p w14:paraId="375E6040" w14:textId="77777777" w:rsidR="00D70041" w:rsidRDefault="00D70041" w:rsidP="00D70041">
            <w:pPr>
              <w:rPr>
                <w:b/>
                <w:u w:val="single"/>
                <w:lang w:eastAsia="zh-CN"/>
              </w:rPr>
            </w:pPr>
            <w:r>
              <w:rPr>
                <w:b/>
                <w:u w:val="single"/>
                <w:lang w:eastAsia="ko-KR"/>
              </w:rPr>
              <w:t xml:space="preserve">Issue 1-1-4: </w:t>
            </w:r>
            <w:r>
              <w:rPr>
                <w:b/>
                <w:u w:val="single"/>
                <w:lang w:eastAsia="zh-CN"/>
              </w:rPr>
              <w:t>Tracking</w:t>
            </w:r>
            <w:r>
              <w:rPr>
                <w:b/>
                <w:u w:val="single"/>
                <w:lang w:eastAsia="ko-KR"/>
              </w:rPr>
              <w:t xml:space="preserve"> period of neighbor cell when TCI state is activated of </w:t>
            </w:r>
            <w:proofErr w:type="spellStart"/>
            <w:r>
              <w:rPr>
                <w:b/>
                <w:u w:val="single"/>
                <w:lang w:eastAsia="ko-KR"/>
              </w:rPr>
              <w:t>neighbour</w:t>
            </w:r>
            <w:proofErr w:type="spellEnd"/>
            <w:r>
              <w:rPr>
                <w:b/>
                <w:u w:val="single"/>
                <w:lang w:eastAsia="ko-KR"/>
              </w:rPr>
              <w:t xml:space="preserve"> cell</w:t>
            </w:r>
            <w:r>
              <w:rPr>
                <w:b/>
                <w:u w:val="single"/>
                <w:lang w:eastAsia="zh-CN"/>
              </w:rPr>
              <w:t xml:space="preserve"> before cell switch command</w:t>
            </w:r>
          </w:p>
          <w:p w14:paraId="3A9F47F3" w14:textId="77777777" w:rsidR="00D70041" w:rsidRDefault="00D70041" w:rsidP="00D70041">
            <w:pPr>
              <w:rPr>
                <w:rFonts w:eastAsia="Malgun Gothic"/>
                <w:b/>
                <w:u w:val="single"/>
                <w:lang w:eastAsia="ko-KR"/>
              </w:rPr>
            </w:pPr>
            <w:r>
              <w:rPr>
                <w:b/>
                <w:u w:val="single"/>
                <w:lang w:eastAsia="ko-KR"/>
              </w:rPr>
              <w:t>Issue 1-2-1-2: The conditions to define the requirements of PDCCH ordered RACH for neighbor cell</w:t>
            </w:r>
          </w:p>
          <w:p w14:paraId="0B9800CF" w14:textId="77777777" w:rsidR="00D70041" w:rsidRDefault="00D70041" w:rsidP="00D70041">
            <w:pPr>
              <w:rPr>
                <w:b/>
                <w:u w:val="single"/>
                <w:lang w:eastAsia="zh-CN"/>
              </w:rPr>
            </w:pPr>
            <w:r>
              <w:rPr>
                <w:b/>
                <w:u w:val="single"/>
                <w:lang w:eastAsia="ko-KR"/>
              </w:rPr>
              <w:t>Issue 1-2-2-1: Whether additional time for DL synchronization is needed in the delay requirements for PDCCH ordered RACH before cell switch command</w:t>
            </w:r>
          </w:p>
          <w:p w14:paraId="6163BC45" w14:textId="77777777" w:rsidR="00D70041" w:rsidRDefault="00D70041" w:rsidP="00D70041">
            <w:pPr>
              <w:rPr>
                <w:b/>
                <w:u w:val="single"/>
                <w:lang w:eastAsia="zh-CN"/>
              </w:rPr>
            </w:pPr>
            <w:r>
              <w:rPr>
                <w:b/>
                <w:u w:val="single"/>
                <w:lang w:eastAsia="ko-KR"/>
              </w:rPr>
              <w:t>Issue 1-2-2-2: The conditions that additional time for DL synchronization is needed in the delay requirements for PDCCH ordered RACH before cell switch command</w:t>
            </w:r>
          </w:p>
          <w:p w14:paraId="4A3A9050" w14:textId="77777777" w:rsidR="00D70041" w:rsidRDefault="00D70041" w:rsidP="00D70041">
            <w:pPr>
              <w:spacing w:after="120"/>
              <w:rPr>
                <w:rFonts w:eastAsia="SimSun"/>
                <w:b/>
                <w:bCs/>
                <w:szCs w:val="24"/>
                <w:lang w:eastAsia="zh-CN"/>
              </w:rPr>
            </w:pPr>
            <w:r>
              <w:rPr>
                <w:rFonts w:eastAsia="SimSun"/>
                <w:b/>
                <w:bCs/>
                <w:szCs w:val="24"/>
                <w:lang w:eastAsia="zh-CN"/>
              </w:rPr>
              <w:t>&lt; Agreement&gt;</w:t>
            </w:r>
          </w:p>
          <w:p w14:paraId="43BF2075" w14:textId="77777777" w:rsidR="00D70041" w:rsidRPr="00774280" w:rsidRDefault="00D70041" w:rsidP="00895105">
            <w:pPr>
              <w:pStyle w:val="ListParagraph"/>
              <w:numPr>
                <w:ilvl w:val="1"/>
                <w:numId w:val="7"/>
              </w:numPr>
              <w:spacing w:after="120" w:line="256" w:lineRule="auto"/>
              <w:contextualSpacing w:val="0"/>
              <w:jc w:val="left"/>
              <w:rPr>
                <w:rFonts w:eastAsia="SimSun"/>
                <w:color w:val="000000" w:themeColor="text1"/>
              </w:rPr>
            </w:pPr>
            <w:r w:rsidRPr="00774280">
              <w:rPr>
                <w:rFonts w:eastAsia="SimSun"/>
                <w:color w:val="000000" w:themeColor="text1"/>
              </w:rPr>
              <w:t>Applicability of UL Tx timing requirements for PDCCH ordered PRACH to target cell</w:t>
            </w:r>
          </w:p>
          <w:p w14:paraId="164D08B7" w14:textId="77777777" w:rsidR="00D70041" w:rsidRPr="00774280" w:rsidRDefault="00D70041" w:rsidP="00895105">
            <w:pPr>
              <w:pStyle w:val="ListParagraph"/>
              <w:numPr>
                <w:ilvl w:val="2"/>
                <w:numId w:val="7"/>
              </w:numPr>
              <w:spacing w:after="120" w:line="256" w:lineRule="auto"/>
              <w:contextualSpacing w:val="0"/>
              <w:jc w:val="left"/>
              <w:rPr>
                <w:rFonts w:eastAsia="SimSun"/>
                <w:color w:val="000000" w:themeColor="text1"/>
              </w:rPr>
            </w:pPr>
            <w:r w:rsidRPr="00774280">
              <w:rPr>
                <w:rFonts w:eastAsia="SimSun"/>
                <w:color w:val="000000" w:themeColor="text1"/>
              </w:rPr>
              <w:t xml:space="preserve">If TCI state of target cell has been activated before PDCCH ordered RACH, </w:t>
            </w:r>
            <w:r w:rsidRPr="00774280">
              <w:rPr>
                <w:rFonts w:eastAsia="SimSun"/>
                <w:color w:val="000000" w:themeColor="text1"/>
                <w:lang w:eastAsia="zh-CN"/>
              </w:rPr>
              <w:t>and</w:t>
            </w:r>
            <w:r w:rsidRPr="00774280">
              <w:rPr>
                <w:rFonts w:eastAsia="SimSun"/>
                <w:color w:val="000000" w:themeColor="text1"/>
              </w:rPr>
              <w:t xml:space="preserve"> if SSB index indicated in PDCCH order is in the active TCI state list, and measurement period of L1-RSRP is no longer than 160ms, UE doesn’t need additional time for SSB based T/F tracking to meet </w:t>
            </w:r>
            <w:proofErr w:type="spellStart"/>
            <w:r w:rsidRPr="00774280">
              <w:rPr>
                <w:rFonts w:eastAsia="SimSun"/>
                <w:color w:val="000000" w:themeColor="text1"/>
              </w:rPr>
              <w:t>Te</w:t>
            </w:r>
            <w:proofErr w:type="spellEnd"/>
            <w:r w:rsidRPr="00774280">
              <w:rPr>
                <w:rFonts w:eastAsia="SimSun"/>
                <w:color w:val="000000" w:themeColor="text1"/>
              </w:rPr>
              <w:t xml:space="preserve"> requirements. otherwise, additional time for SSB based T/F tracking is needed.</w:t>
            </w:r>
          </w:p>
          <w:p w14:paraId="245410A6" w14:textId="77777777" w:rsidR="00D70041" w:rsidRPr="00774280" w:rsidRDefault="00D70041" w:rsidP="00D70041">
            <w:pPr>
              <w:spacing w:after="120"/>
              <w:rPr>
                <w:rFonts w:eastAsia="SimSun"/>
                <w:color w:val="000000" w:themeColor="text1"/>
              </w:rPr>
            </w:pPr>
            <w:r w:rsidRPr="00774280">
              <w:rPr>
                <w:rFonts w:eastAsia="SimSun"/>
                <w:color w:val="000000" w:themeColor="text1"/>
              </w:rPr>
              <w:t>If SSB index indicated in PDCCH order is not in the active TCI state list that has been activated for the target cell, when the measurement period of L1-RSRP is no longer than 160ms, whether additional delay is needed for T</w:t>
            </w:r>
            <w:r w:rsidRPr="00774280">
              <w:rPr>
                <w:rFonts w:eastAsia="SimSun"/>
                <w:color w:val="000000" w:themeColor="text1"/>
                <w:vertAlign w:val="subscript"/>
              </w:rPr>
              <w:t>SSB</w:t>
            </w:r>
            <w:r w:rsidRPr="00774280">
              <w:rPr>
                <w:rFonts w:eastAsia="SimSun"/>
                <w:color w:val="000000" w:themeColor="text1"/>
              </w:rPr>
              <w:t xml:space="preserve"> is FFS.</w:t>
            </w:r>
          </w:p>
          <w:p w14:paraId="480F84AC" w14:textId="77777777" w:rsidR="00D70041" w:rsidRDefault="00D70041" w:rsidP="00D70041">
            <w:pPr>
              <w:spacing w:after="120"/>
              <w:rPr>
                <w:rFonts w:eastAsia="SimSun"/>
                <w:b/>
                <w:bCs/>
                <w:szCs w:val="24"/>
                <w:lang w:eastAsia="zh-CN"/>
              </w:rPr>
            </w:pPr>
            <w:r w:rsidRPr="00774280">
              <w:rPr>
                <w:rFonts w:eastAsia="SimSun"/>
                <w:b/>
                <w:bCs/>
                <w:szCs w:val="24"/>
                <w:lang w:eastAsia="zh-CN"/>
              </w:rPr>
              <w:t>&lt;Way forward&gt;</w:t>
            </w:r>
          </w:p>
          <w:p w14:paraId="1661A88F" w14:textId="77777777" w:rsidR="00D70041" w:rsidRDefault="00D70041" w:rsidP="00895105">
            <w:pPr>
              <w:pStyle w:val="ListParagraph"/>
              <w:numPr>
                <w:ilvl w:val="1"/>
                <w:numId w:val="7"/>
              </w:numPr>
              <w:spacing w:after="120" w:line="256" w:lineRule="auto"/>
              <w:contextualSpacing w:val="0"/>
              <w:jc w:val="left"/>
              <w:rPr>
                <w:rFonts w:eastAsia="SimSun"/>
                <w:b/>
                <w:bCs/>
                <w:szCs w:val="24"/>
                <w:lang w:eastAsia="zh-CN"/>
              </w:rPr>
            </w:pPr>
            <w:r>
              <w:rPr>
                <w:rFonts w:eastAsia="SimSun"/>
                <w:color w:val="000000" w:themeColor="text1"/>
              </w:rPr>
              <w:t>Issues 1-1-3, 1-1-4, 1-2-1-2, 1-2-2-1 and 1-2-2-2 are closed.</w:t>
            </w:r>
          </w:p>
          <w:p w14:paraId="3B8C22E8" w14:textId="77777777" w:rsidR="00D70041" w:rsidRDefault="00D70041" w:rsidP="00D70041">
            <w:pPr>
              <w:rPr>
                <w:rFonts w:eastAsiaTheme="minorEastAsia"/>
                <w:b/>
                <w:u w:val="single"/>
                <w:lang w:eastAsia="zh-CN"/>
              </w:rPr>
            </w:pPr>
          </w:p>
          <w:p w14:paraId="0A23F786" w14:textId="77777777" w:rsidR="00D70041" w:rsidRDefault="00D70041" w:rsidP="00D70041">
            <w:pPr>
              <w:rPr>
                <w:b/>
                <w:u w:val="single"/>
                <w:lang w:eastAsia="zh-CN"/>
              </w:rPr>
            </w:pPr>
            <w:r>
              <w:rPr>
                <w:b/>
                <w:u w:val="single"/>
                <w:lang w:eastAsia="ko-KR"/>
              </w:rPr>
              <w:t xml:space="preserve">Issue 1-1-5: Whether to consider TCI state activation on multiple </w:t>
            </w:r>
            <w:proofErr w:type="spellStart"/>
            <w:r>
              <w:rPr>
                <w:b/>
                <w:u w:val="single"/>
                <w:lang w:eastAsia="ko-KR"/>
              </w:rPr>
              <w:t>neighbour</w:t>
            </w:r>
            <w:proofErr w:type="spellEnd"/>
            <w:r>
              <w:rPr>
                <w:b/>
                <w:u w:val="single"/>
                <w:lang w:eastAsia="ko-KR"/>
              </w:rPr>
              <w:t xml:space="preserve"> cell</w:t>
            </w:r>
            <w:r>
              <w:rPr>
                <w:b/>
                <w:u w:val="single"/>
                <w:lang w:eastAsia="zh-CN"/>
              </w:rPr>
              <w:t xml:space="preserve"> before cell switch command</w:t>
            </w:r>
          </w:p>
          <w:p w14:paraId="20DB8FF8" w14:textId="77777777" w:rsidR="00D70041" w:rsidRDefault="00D70041" w:rsidP="00D70041">
            <w:pPr>
              <w:rPr>
                <w:rFonts w:eastAsiaTheme="minorEastAsia"/>
                <w:b/>
                <w:lang w:eastAsia="zh-CN"/>
              </w:rPr>
            </w:pPr>
            <w:r>
              <w:rPr>
                <w:b/>
                <w:lang w:eastAsia="zh-CN"/>
              </w:rPr>
              <w:t xml:space="preserve">&lt;Way Forward&gt; </w:t>
            </w:r>
            <w:r>
              <w:rPr>
                <w:bCs/>
                <w:lang w:eastAsia="zh-CN"/>
              </w:rPr>
              <w:t>FFS the following options:</w:t>
            </w:r>
          </w:p>
          <w:p w14:paraId="222EF117" w14:textId="77777777" w:rsidR="00D70041" w:rsidRDefault="00D70041" w:rsidP="00895105">
            <w:pPr>
              <w:pStyle w:val="ListParagraph"/>
              <w:numPr>
                <w:ilvl w:val="1"/>
                <w:numId w:val="7"/>
              </w:numPr>
              <w:spacing w:after="120" w:line="256" w:lineRule="auto"/>
              <w:ind w:left="1440"/>
              <w:contextualSpacing w:val="0"/>
              <w:jc w:val="left"/>
              <w:rPr>
                <w:rFonts w:eastAsia="SimSun"/>
                <w:szCs w:val="24"/>
                <w:lang w:eastAsia="zh-CN"/>
              </w:rPr>
            </w:pPr>
            <w:r>
              <w:rPr>
                <w:rFonts w:eastAsia="SimSun"/>
                <w:szCs w:val="24"/>
                <w:lang w:eastAsia="zh-CN"/>
              </w:rPr>
              <w:t xml:space="preserve">Option 1 (Apple): </w:t>
            </w:r>
            <w:r>
              <w:rPr>
                <w:szCs w:val="24"/>
                <w:lang w:eastAsia="zh-CN"/>
              </w:rPr>
              <w:t>it is unnecessary for UE to perform T/F fine tracking for multiple candidate cells before cell switch command, considering the following aspects:</w:t>
            </w:r>
          </w:p>
          <w:p w14:paraId="7DE3CA94" w14:textId="77777777" w:rsidR="00D70041" w:rsidRDefault="00D70041" w:rsidP="00895105">
            <w:pPr>
              <w:pStyle w:val="ListParagraph"/>
              <w:numPr>
                <w:ilvl w:val="2"/>
                <w:numId w:val="7"/>
              </w:numPr>
              <w:spacing w:after="120" w:line="256" w:lineRule="auto"/>
              <w:ind w:left="2376"/>
              <w:contextualSpacing w:val="0"/>
              <w:jc w:val="left"/>
              <w:rPr>
                <w:rFonts w:eastAsia="SimSun"/>
                <w:szCs w:val="24"/>
                <w:lang w:eastAsia="zh-CN"/>
              </w:rPr>
            </w:pPr>
            <w:r>
              <w:rPr>
                <w:rFonts w:eastAsia="SimSun"/>
                <w:szCs w:val="24"/>
                <w:lang w:eastAsia="zh-CN"/>
              </w:rPr>
              <w:t>Availability of 160ms SSB may not be guaranteed if UE needs to perform T/F fine tracking for multiple candidate cells.</w:t>
            </w:r>
          </w:p>
          <w:p w14:paraId="26DF9E0E" w14:textId="77777777" w:rsidR="00D70041" w:rsidRDefault="00D70041" w:rsidP="00895105">
            <w:pPr>
              <w:pStyle w:val="ListParagraph"/>
              <w:numPr>
                <w:ilvl w:val="2"/>
                <w:numId w:val="7"/>
              </w:numPr>
              <w:spacing w:after="120" w:line="256" w:lineRule="auto"/>
              <w:ind w:left="2376"/>
              <w:contextualSpacing w:val="0"/>
              <w:jc w:val="left"/>
              <w:rPr>
                <w:rFonts w:eastAsia="SimSun"/>
                <w:szCs w:val="24"/>
                <w:lang w:eastAsia="zh-CN"/>
              </w:rPr>
            </w:pPr>
            <w:r>
              <w:rPr>
                <w:rFonts w:eastAsia="SimSun"/>
                <w:szCs w:val="24"/>
                <w:lang w:eastAsia="zh-CN"/>
              </w:rPr>
              <w:lastRenderedPageBreak/>
              <w:t>Candidate cells quality monitoring can be covered by L3 and L1 measurement.</w:t>
            </w:r>
          </w:p>
          <w:p w14:paraId="6BBF5686" w14:textId="77777777" w:rsidR="00D70041" w:rsidRDefault="00D70041" w:rsidP="00895105">
            <w:pPr>
              <w:pStyle w:val="ListParagraph"/>
              <w:numPr>
                <w:ilvl w:val="2"/>
                <w:numId w:val="7"/>
              </w:numPr>
              <w:spacing w:after="120" w:line="256" w:lineRule="auto"/>
              <w:ind w:left="2376"/>
              <w:contextualSpacing w:val="0"/>
              <w:jc w:val="left"/>
              <w:rPr>
                <w:rFonts w:eastAsia="SimSun"/>
                <w:szCs w:val="24"/>
                <w:lang w:eastAsia="zh-CN"/>
              </w:rPr>
            </w:pPr>
            <w:r>
              <w:rPr>
                <w:rFonts w:eastAsia="SimSun"/>
                <w:szCs w:val="24"/>
                <w:lang w:eastAsia="zh-CN"/>
              </w:rPr>
              <w:t>Network is expected to trigger TCI state activation and PDCCH order for target cell to which cell switch will be triggered soon.</w:t>
            </w:r>
          </w:p>
          <w:p w14:paraId="266751E9" w14:textId="77777777" w:rsidR="00D70041" w:rsidRDefault="00D70041" w:rsidP="00895105">
            <w:pPr>
              <w:pStyle w:val="ListParagraph"/>
              <w:numPr>
                <w:ilvl w:val="1"/>
                <w:numId w:val="7"/>
              </w:numPr>
              <w:spacing w:after="120" w:line="256" w:lineRule="auto"/>
              <w:ind w:left="1440"/>
              <w:contextualSpacing w:val="0"/>
              <w:jc w:val="left"/>
              <w:rPr>
                <w:rFonts w:eastAsia="SimSun"/>
                <w:szCs w:val="24"/>
                <w:lang w:eastAsia="zh-CN"/>
              </w:rPr>
            </w:pPr>
            <w:r>
              <w:rPr>
                <w:rFonts w:eastAsia="SimSun"/>
                <w:szCs w:val="24"/>
                <w:lang w:eastAsia="zh-CN"/>
              </w:rPr>
              <w:t xml:space="preserve">Option 2 (CATT, </w:t>
            </w:r>
            <w:proofErr w:type="spellStart"/>
            <w:r>
              <w:rPr>
                <w:rFonts w:eastAsia="SimSun"/>
                <w:szCs w:val="24"/>
                <w:lang w:eastAsia="zh-CN"/>
              </w:rPr>
              <w:t>xiaomi</w:t>
            </w:r>
            <w:proofErr w:type="spellEnd"/>
            <w:r>
              <w:rPr>
                <w:rFonts w:eastAsia="SimSun"/>
                <w:szCs w:val="24"/>
                <w:lang w:eastAsia="zh-CN"/>
              </w:rPr>
              <w:t>, ZTE): RAN4 to discuss UE capability to support T/F fine tracking on multiple candidate cells</w:t>
            </w:r>
          </w:p>
          <w:p w14:paraId="64BE1B9A" w14:textId="77777777" w:rsidR="00D70041" w:rsidRDefault="00D70041" w:rsidP="00895105">
            <w:pPr>
              <w:pStyle w:val="ListParagraph"/>
              <w:numPr>
                <w:ilvl w:val="2"/>
                <w:numId w:val="7"/>
              </w:numPr>
              <w:spacing w:after="120" w:line="256" w:lineRule="auto"/>
              <w:ind w:left="2376"/>
              <w:contextualSpacing w:val="0"/>
              <w:jc w:val="left"/>
              <w:rPr>
                <w:rFonts w:eastAsia="SimSun"/>
                <w:szCs w:val="24"/>
                <w:lang w:eastAsia="zh-CN"/>
              </w:rPr>
            </w:pPr>
            <w:r>
              <w:rPr>
                <w:rFonts w:eastAsia="SimSun"/>
                <w:szCs w:val="24"/>
                <w:lang w:eastAsia="zh-CN"/>
              </w:rPr>
              <w:t>Xiaomi: RAN4 to discuss the delay requirement of TCI state activation for multiple candidate cells.</w:t>
            </w:r>
          </w:p>
          <w:p w14:paraId="6C35D97B" w14:textId="77777777" w:rsidR="00D70041" w:rsidRDefault="00D70041" w:rsidP="00895105">
            <w:pPr>
              <w:pStyle w:val="ListParagraph"/>
              <w:numPr>
                <w:ilvl w:val="1"/>
                <w:numId w:val="7"/>
              </w:numPr>
              <w:spacing w:after="120" w:line="256" w:lineRule="auto"/>
              <w:ind w:left="1440"/>
              <w:contextualSpacing w:val="0"/>
              <w:jc w:val="left"/>
              <w:rPr>
                <w:rFonts w:eastAsia="SimSun"/>
                <w:szCs w:val="24"/>
                <w:lang w:eastAsia="zh-CN"/>
              </w:rPr>
            </w:pPr>
            <w:r>
              <w:rPr>
                <w:rFonts w:eastAsia="SimSun"/>
                <w:szCs w:val="24"/>
                <w:lang w:eastAsia="zh-CN"/>
              </w:rPr>
              <w:t>Option 3 (OPPO): RAN4 consider to define UE capability on T/F fine time tracking on candidate cells if not defined by RAN1.</w:t>
            </w:r>
          </w:p>
          <w:p w14:paraId="68E52B28" w14:textId="77777777" w:rsidR="00D70041" w:rsidRDefault="00D70041" w:rsidP="00895105">
            <w:pPr>
              <w:pStyle w:val="ListParagraph"/>
              <w:numPr>
                <w:ilvl w:val="1"/>
                <w:numId w:val="7"/>
              </w:numPr>
              <w:spacing w:after="120" w:line="256" w:lineRule="auto"/>
              <w:ind w:left="1440"/>
              <w:contextualSpacing w:val="0"/>
              <w:jc w:val="left"/>
              <w:rPr>
                <w:rFonts w:eastAsia="SimSun"/>
                <w:szCs w:val="24"/>
                <w:lang w:eastAsia="zh-CN"/>
              </w:rPr>
            </w:pPr>
            <w:r>
              <w:rPr>
                <w:rFonts w:eastAsia="SimSun"/>
                <w:szCs w:val="24"/>
                <w:lang w:eastAsia="zh-CN"/>
              </w:rPr>
              <w:t>Option 4 (Nokia): Wait for RAN1/RAN2 agreements on activation of more than one joint or separate DL/UL TCI states for one or more LTM candidate cells before defining the corresponding requirements.</w:t>
            </w:r>
          </w:p>
          <w:p w14:paraId="1A7949E9" w14:textId="77777777" w:rsidR="00D70041" w:rsidRDefault="00D70041" w:rsidP="00D70041"/>
        </w:tc>
      </w:tr>
    </w:tbl>
    <w:p w14:paraId="53ECBF49" w14:textId="77777777" w:rsidR="00D70041" w:rsidRDefault="00D70041" w:rsidP="00D70041"/>
    <w:p w14:paraId="6B67BA9F" w14:textId="27191DF3" w:rsidR="00422338" w:rsidRDefault="001747FD" w:rsidP="00AC2302">
      <w:pPr>
        <w:pStyle w:val="RAN4H2"/>
      </w:pPr>
      <w:r>
        <w:t>Early TCI state activation delay</w:t>
      </w:r>
    </w:p>
    <w:p w14:paraId="6A039E94" w14:textId="77777777" w:rsidR="00C2754D" w:rsidRDefault="001747FD" w:rsidP="001747FD">
      <w:r>
        <w:t xml:space="preserve">In the last </w:t>
      </w:r>
      <w:r w:rsidR="00734593">
        <w:t xml:space="preserve">RAN4 </w:t>
      </w:r>
      <w:r>
        <w:t xml:space="preserve">meeting it was discussed whether TCI state activation delay requirements need to be defined for TCI state activation for a candidate cell before the cell switch. </w:t>
      </w:r>
      <w:r w:rsidR="001B0A33">
        <w:t xml:space="preserve">As we stated in the last meeting, </w:t>
      </w:r>
      <w:r w:rsidR="00770F74">
        <w:t>i</w:t>
      </w:r>
      <w:r w:rsidR="001B0A33">
        <w:t xml:space="preserve">n our view such requirement is necessary </w:t>
      </w:r>
      <w:r w:rsidR="009D0E43">
        <w:t>so that the network knows when it can assume the TCI state activation to be completed by the UE</w:t>
      </w:r>
      <w:r w:rsidR="008223F2">
        <w:t xml:space="preserve">. </w:t>
      </w:r>
    </w:p>
    <w:p w14:paraId="12341721" w14:textId="5741BC64" w:rsidR="00684AA8" w:rsidRDefault="008223F2" w:rsidP="001747FD">
      <w:r>
        <w:t xml:space="preserve">Some companies commented that if the TCI state activation is not completed by the time of the cell switch command, the UE just continues the activation during the cell switch. </w:t>
      </w:r>
      <w:r w:rsidR="00A2550C">
        <w:t xml:space="preserve">While we understand that </w:t>
      </w:r>
      <w:r w:rsidR="00C2754D">
        <w:t xml:space="preserve">this is true and </w:t>
      </w:r>
      <w:r w:rsidR="00A2550C">
        <w:t>according to the RAN1/RAN2 defined LTM procedure</w:t>
      </w:r>
      <w:r w:rsidR="00C37F8E">
        <w:t xml:space="preserve"> and</w:t>
      </w:r>
      <w:r w:rsidR="00A2550C">
        <w:t xml:space="preserve"> the cell switch command does not as such differ </w:t>
      </w:r>
      <w:r w:rsidR="00C37F8E">
        <w:t>depending on</w:t>
      </w:r>
      <w:r w:rsidR="00A2550C">
        <w:t xml:space="preserve"> whether TCI state for the target is activated before or at the cell switch command, </w:t>
      </w:r>
      <w:r w:rsidR="00087910">
        <w:t>from network point of view</w:t>
      </w:r>
      <w:r w:rsidR="00CB649A">
        <w:t>,</w:t>
      </w:r>
      <w:r w:rsidR="00087910">
        <w:t xml:space="preserve"> not knowing when the TCI state can be expected to be activated </w:t>
      </w:r>
      <w:r w:rsidR="00364584">
        <w:t>would in some cases</w:t>
      </w:r>
      <w:r w:rsidR="003D6F9C">
        <w:t xml:space="preserve"> make </w:t>
      </w:r>
      <w:r w:rsidR="00304D88">
        <w:t xml:space="preserve">the </w:t>
      </w:r>
      <w:r w:rsidR="003D6F9C">
        <w:t xml:space="preserve">early TCI state activation useless. The point of early TCI state activation is that the UE does not need to </w:t>
      </w:r>
      <w:r w:rsidR="00364584">
        <w:t xml:space="preserve">activate </w:t>
      </w:r>
      <w:r w:rsidR="000D25B1">
        <w:t>th</w:t>
      </w:r>
      <w:r w:rsidR="003D6F9C">
        <w:t xml:space="preserve">e target TCI state during the cell switch. </w:t>
      </w:r>
      <w:r w:rsidR="001976E7">
        <w:t>From network point of view</w:t>
      </w:r>
      <w:r w:rsidR="004C146A">
        <w:t>,</w:t>
      </w:r>
      <w:r w:rsidR="001976E7">
        <w:t xml:space="preserve"> it makes no sense to </w:t>
      </w:r>
      <w:r w:rsidR="00C37F8E">
        <w:t xml:space="preserve">send an activation command for </w:t>
      </w:r>
      <w:r w:rsidR="001976E7">
        <w:t xml:space="preserve">a </w:t>
      </w:r>
      <w:r w:rsidR="00C37F8E">
        <w:t xml:space="preserve">candidate cell </w:t>
      </w:r>
      <w:r w:rsidR="001976E7">
        <w:t>TCI state before</w:t>
      </w:r>
      <w:r w:rsidR="004C146A">
        <w:t xml:space="preserve"> the cell switch command</w:t>
      </w:r>
      <w:r w:rsidR="001976E7">
        <w:t xml:space="preserve">, if the network cannot </w:t>
      </w:r>
      <w:r w:rsidR="004C146A">
        <w:t xml:space="preserve">expect </w:t>
      </w:r>
      <w:r w:rsidR="001976E7">
        <w:t>that the TCI state is then active by the time of the cell switch.</w:t>
      </w:r>
      <w:r w:rsidR="006624F4">
        <w:t xml:space="preserve"> Therefore, network needs to have some knowledge about when the TCI state can be assumed to be active, and therefore, when the network can send the LTM cell switch command </w:t>
      </w:r>
      <w:r w:rsidR="002E22E5">
        <w:t xml:space="preserve">or PDCCH order for TA acquisition </w:t>
      </w:r>
      <w:r w:rsidR="006624F4">
        <w:t>with the assumption that TCI state activation does not need to be done during the cell switch</w:t>
      </w:r>
      <w:r w:rsidR="00C37F8E">
        <w:t xml:space="preserve"> or early RACH</w:t>
      </w:r>
      <w:r w:rsidR="006624F4">
        <w:t>.</w:t>
      </w:r>
      <w:r w:rsidR="00684AA8">
        <w:t xml:space="preserve"> </w:t>
      </w:r>
    </w:p>
    <w:p w14:paraId="58E1403A" w14:textId="5C32A6EA" w:rsidR="00684AA8" w:rsidRDefault="00684AA8" w:rsidP="001747FD">
      <w:r>
        <w:t>TCI state activation for LTM candidate cell</w:t>
      </w:r>
      <w:r w:rsidR="00D67E2B">
        <w:t xml:space="preserve">, even though it is based on different MAC-CE than TCI state activation for serving cells, is still </w:t>
      </w:r>
      <w:r w:rsidR="002B205F">
        <w:t xml:space="preserve">a similar procedure as in the legacy requirements. Therefore, we think the TCI state activation delay requirement (MAC-CE based </w:t>
      </w:r>
      <w:r w:rsidR="00F604D6">
        <w:t>TCI state switch delay or active TCI state list update in the case of multiple activated TCI states) can be reused.</w:t>
      </w:r>
    </w:p>
    <w:p w14:paraId="5DBC54F3" w14:textId="06112E87" w:rsidR="00852307" w:rsidRDefault="00852307" w:rsidP="00852307">
      <w:pPr>
        <w:pStyle w:val="RAN4proposal"/>
      </w:pPr>
      <w:bookmarkStart w:id="1" w:name="_Toc146741230"/>
      <w:r>
        <w:t xml:space="preserve">RAN4 to define TCI state activation delay requirement for early TCI state activation for LTM candidate cell before the cell switch. Legacy </w:t>
      </w:r>
      <w:r w:rsidR="00E55450">
        <w:t xml:space="preserve">TCI state switching </w:t>
      </w:r>
      <w:r w:rsidR="00C37F8E">
        <w:t>delay</w:t>
      </w:r>
      <w:r>
        <w:t xml:space="preserve"> for unified TCI state can be reused.</w:t>
      </w:r>
      <w:bookmarkEnd w:id="1"/>
    </w:p>
    <w:p w14:paraId="5A3EA666" w14:textId="5FA1D4B6" w:rsidR="00114D34" w:rsidRDefault="00114D34" w:rsidP="00114D34">
      <w:r>
        <w:t xml:space="preserve">Furthermore, RAN4 agreed that at LTM cell switch, only known target TCI state is considered. For early TCI state activation, also unknown TCI states may be considered by following the legacy requirements. </w:t>
      </w:r>
      <w:r w:rsidR="004552E5">
        <w:t>Known TCI state condition for uplink and downlink TCI states can be reused from the legacy as well.</w:t>
      </w:r>
    </w:p>
    <w:p w14:paraId="2BA420A4" w14:textId="35A239F8" w:rsidR="004552E5" w:rsidRPr="00114D34" w:rsidRDefault="00A60BB7" w:rsidP="004552E5">
      <w:pPr>
        <w:pStyle w:val="RAN4proposal"/>
      </w:pPr>
      <w:bookmarkStart w:id="2" w:name="_Toc146741231"/>
      <w:r>
        <w:t>Take both known and unknown UL/DL TCI states into account in the early TCI state activation delay requirement.</w:t>
      </w:r>
      <w:bookmarkEnd w:id="2"/>
    </w:p>
    <w:p w14:paraId="230035FB" w14:textId="70FE6B4F" w:rsidR="00AC2302" w:rsidRDefault="00AC2302" w:rsidP="00AC2302">
      <w:pPr>
        <w:pStyle w:val="RAN4H2"/>
      </w:pPr>
      <w:r>
        <w:t>TCI state activation for multiple candidate cells</w:t>
      </w:r>
    </w:p>
    <w:p w14:paraId="4A99F448" w14:textId="1E3A4FDA" w:rsidR="009E3371" w:rsidRDefault="009E3371" w:rsidP="00D70041">
      <w:r>
        <w:t>RAN1 has agreed that</w:t>
      </w:r>
      <w:r w:rsidR="006F46E8">
        <w:t xml:space="preserve"> </w:t>
      </w:r>
      <w:r w:rsidR="006F46E8" w:rsidRPr="006F46E8">
        <w:t>TCI state activation by MAC CE before cell switch command for one or more candidate cells is allowed</w:t>
      </w:r>
      <w:r w:rsidR="006F46E8">
        <w:t xml:space="preserve">. </w:t>
      </w:r>
      <w:r w:rsidR="00314137">
        <w:t>When TCI state is activated for</w:t>
      </w:r>
      <w:r w:rsidR="001059C5">
        <w:t xml:space="preserve"> a candidate cell, the UE is expected to keep track of the timing of these cells. </w:t>
      </w:r>
      <w:r w:rsidR="004514A5">
        <w:t>In the last meeting, in issue 1-1-5</w:t>
      </w:r>
      <w:r w:rsidR="00C37F8E">
        <w:t>,</w:t>
      </w:r>
      <w:r w:rsidR="004514A5">
        <w:t xml:space="preserve"> it was proposed to discuss </w:t>
      </w:r>
      <w:r w:rsidR="002C6194">
        <w:t>for how many candidate cells the UE can perform T/F tracking.</w:t>
      </w:r>
    </w:p>
    <w:p w14:paraId="2C3491CB" w14:textId="7D0ACDAA" w:rsidR="00AB1E56" w:rsidRDefault="00AB1E56" w:rsidP="00D70041">
      <w:r>
        <w:t>In our view, if the network activates TCI state(s) for multiple candidate cells</w:t>
      </w:r>
      <w:r w:rsidR="00E21E73">
        <w:t xml:space="preserve"> and the UE is not able to track the timing for all of the activated TCI states</w:t>
      </w:r>
      <w:r>
        <w:t xml:space="preserve">, </w:t>
      </w:r>
      <w:r w:rsidR="00C37F8E">
        <w:t>it is not clear how the UE would select the TCI states it actually activates i.e. does the time tracking for</w:t>
      </w:r>
      <w:r w:rsidR="003B273B">
        <w:t xml:space="preserve">. Such information is not visible to the network, so the network would not know which TCI states are </w:t>
      </w:r>
      <w:r w:rsidR="003B273B">
        <w:lastRenderedPageBreak/>
        <w:t xml:space="preserve">actually active and UE </w:t>
      </w:r>
      <w:r w:rsidR="00606466">
        <w:t xml:space="preserve">has done the T/F tracking. Therefore, in our view the UE should as a default be able to </w:t>
      </w:r>
      <w:r w:rsidR="00C42080">
        <w:t xml:space="preserve">do T/F tracking and </w:t>
      </w:r>
      <w:r w:rsidR="00606466">
        <w:t>keep track of</w:t>
      </w:r>
      <w:r w:rsidR="00C42080">
        <w:t xml:space="preserve"> the timing for</w:t>
      </w:r>
      <w:r w:rsidR="00606466">
        <w:t xml:space="preserve"> all TCI states that are </w:t>
      </w:r>
      <w:r w:rsidR="00C42080">
        <w:t>on its active TCI state list for LTM candidate cells.</w:t>
      </w:r>
    </w:p>
    <w:p w14:paraId="3A4B3952" w14:textId="2FABF4CD" w:rsidR="007D4FC4" w:rsidRDefault="007D4FC4" w:rsidP="00D70041">
      <w:r>
        <w:t xml:space="preserve">If there are limitations on the number of TCI states the UE can </w:t>
      </w:r>
      <w:r w:rsidR="00C31711">
        <w:t>track the timing for</w:t>
      </w:r>
      <w:r>
        <w:t xml:space="preserve">, </w:t>
      </w:r>
      <w:r w:rsidR="00C31711">
        <w:t>this should be visible to the network</w:t>
      </w:r>
      <w:r w:rsidR="00C37F8E">
        <w:t xml:space="preserve"> as a UE capability</w:t>
      </w:r>
      <w:r w:rsidR="00704BAE">
        <w:t>, so that the network will not activate TCI states for more candidate cells than the UE is capable of doing the time tracking for.</w:t>
      </w:r>
    </w:p>
    <w:p w14:paraId="3A7AC49B" w14:textId="49C09D7A" w:rsidR="00704BAE" w:rsidRDefault="00704BAE" w:rsidP="00704BAE">
      <w:pPr>
        <w:pStyle w:val="RAN4proposal"/>
      </w:pPr>
      <w:bookmarkStart w:id="3" w:name="_Toc146741232"/>
      <w:r>
        <w:t>UE shall do T/F tracking and keep track of the timing of all TCI states on its active TCI state list for one or more LTM candidate cells.</w:t>
      </w:r>
      <w:bookmarkEnd w:id="3"/>
      <w:r>
        <w:t xml:space="preserve"> </w:t>
      </w:r>
    </w:p>
    <w:p w14:paraId="16BDC2D6" w14:textId="2A94AF39" w:rsidR="00C169E7" w:rsidRPr="00C169E7" w:rsidRDefault="00C169E7" w:rsidP="00C169E7">
      <w:pPr>
        <w:pStyle w:val="RAN4proposal"/>
      </w:pPr>
      <w:bookmarkStart w:id="4" w:name="_Toc146741233"/>
      <w:r>
        <w:t>RAN4 to discuss how many candidate cells/TCI states the UEs are capable to do the time tracking</w:t>
      </w:r>
      <w:r w:rsidR="00C37F8E">
        <w:t xml:space="preserve"> for,</w:t>
      </w:r>
      <w:r w:rsidR="0014272A">
        <w:t xml:space="preserve"> </w:t>
      </w:r>
      <w:r w:rsidR="00C37F8E">
        <w:t>and a corresponding UE capability should be defined</w:t>
      </w:r>
      <w:r w:rsidR="00C7586E">
        <w:t>.</w:t>
      </w:r>
      <w:bookmarkEnd w:id="4"/>
    </w:p>
    <w:p w14:paraId="07130014" w14:textId="77777777" w:rsidR="009E5A7F" w:rsidRDefault="009E5A7F" w:rsidP="00D70041"/>
    <w:p w14:paraId="2C868C59" w14:textId="63320EC7" w:rsidR="00D70041" w:rsidRPr="00CE41A7" w:rsidRDefault="00AC2302" w:rsidP="00D70041">
      <w:pPr>
        <w:pStyle w:val="RAN4H2"/>
      </w:pPr>
      <w:r>
        <w:t xml:space="preserve">TCI state activation </w:t>
      </w:r>
      <w:r w:rsidR="0001138D">
        <w:t>in</w:t>
      </w:r>
      <w:r>
        <w:t xml:space="preserve"> r</w:t>
      </w:r>
      <w:r w:rsidR="00D70041" w:rsidRPr="00CE41A7">
        <w:t>ole switch scenario</w:t>
      </w:r>
    </w:p>
    <w:p w14:paraId="6994F8F5" w14:textId="5061D2F8" w:rsidR="001D3627" w:rsidRDefault="00D70041" w:rsidP="00D70041">
      <w:r>
        <w:t>When the target LTM candidate cell is a current serving cell e.g. a current SCell (role switch scenario), the target cell may already have TCI state(s) active on its active TCI state list</w:t>
      </w:r>
      <w:r w:rsidR="008078AB">
        <w:t xml:space="preserve"> for intra</w:t>
      </w:r>
      <w:r w:rsidR="00531779">
        <w:t>/inter cell beam management</w:t>
      </w:r>
      <w:r>
        <w:t xml:space="preserve">. However, </w:t>
      </w:r>
      <w:r w:rsidR="001D3627">
        <w:t xml:space="preserve">as per the following agreement in RAN2, </w:t>
      </w:r>
      <w:r>
        <w:t>the TCI states for serving cells and TCI states for LTM candidate cells are included in different TCI state pools</w:t>
      </w:r>
      <w:r w:rsidR="00F05549">
        <w:t xml:space="preserve"> </w:t>
      </w:r>
      <w:r w:rsidR="002014FB">
        <w:t xml:space="preserve">(i.e. list of configured TCI states) </w:t>
      </w:r>
      <w:r w:rsidR="00F05549">
        <w:t>than the serving cell TCI states</w:t>
      </w:r>
      <w:r>
        <w:t xml:space="preserve">. </w:t>
      </w:r>
    </w:p>
    <w:tbl>
      <w:tblPr>
        <w:tblStyle w:val="TableGrid"/>
        <w:tblW w:w="0" w:type="auto"/>
        <w:tblLook w:val="04A0" w:firstRow="1" w:lastRow="0" w:firstColumn="1" w:lastColumn="0" w:noHBand="0" w:noVBand="1"/>
      </w:tblPr>
      <w:tblGrid>
        <w:gridCol w:w="9617"/>
      </w:tblGrid>
      <w:tr w:rsidR="000E1339" w14:paraId="63B27350" w14:textId="77777777" w:rsidTr="000E1339">
        <w:tc>
          <w:tcPr>
            <w:tcW w:w="9617" w:type="dxa"/>
          </w:tcPr>
          <w:p w14:paraId="637EF94D" w14:textId="77777777" w:rsidR="000E1339" w:rsidRPr="001D3627" w:rsidRDefault="000E1339" w:rsidP="000E1339">
            <w:pPr>
              <w:pStyle w:val="pf0"/>
              <w:spacing w:after="0" w:afterAutospacing="0"/>
              <w:rPr>
                <w:rFonts w:ascii="Arial" w:hAnsi="Arial" w:cs="Arial"/>
                <w:b/>
                <w:bCs/>
                <w:sz w:val="20"/>
                <w:szCs w:val="20"/>
              </w:rPr>
            </w:pPr>
            <w:r w:rsidRPr="001D3627">
              <w:rPr>
                <w:rStyle w:val="cf01"/>
                <w:b/>
                <w:bCs/>
              </w:rPr>
              <w:t>RAN2 #121bis-e (April 2023):</w:t>
            </w:r>
          </w:p>
          <w:p w14:paraId="459E4463" w14:textId="3A754133" w:rsidR="000E1339" w:rsidRPr="000E1339" w:rsidRDefault="000E1339" w:rsidP="000E1339">
            <w:pPr>
              <w:pStyle w:val="pf1"/>
              <w:numPr>
                <w:ilvl w:val="0"/>
                <w:numId w:val="10"/>
              </w:numPr>
              <w:spacing w:before="0" w:beforeAutospacing="0"/>
              <w:ind w:left="880"/>
              <w:rPr>
                <w:rFonts w:ascii="Arial" w:hAnsi="Arial" w:cs="Arial"/>
                <w:b/>
                <w:bCs/>
                <w:sz w:val="20"/>
                <w:szCs w:val="20"/>
              </w:rPr>
            </w:pPr>
            <w:r w:rsidRPr="001D3627">
              <w:rPr>
                <w:rStyle w:val="cf11"/>
              </w:rPr>
              <w:t xml:space="preserve">RAN2 assumes that the location of configurations of TCI states for the candidate cells (used before/at cell switch) is external to the </w:t>
            </w:r>
            <w:proofErr w:type="spellStart"/>
            <w:r w:rsidRPr="001D3627">
              <w:rPr>
                <w:rStyle w:val="cf11"/>
              </w:rPr>
              <w:t>ServingCellConfig</w:t>
            </w:r>
            <w:proofErr w:type="spellEnd"/>
            <w:r w:rsidRPr="001D3627">
              <w:rPr>
                <w:rStyle w:val="cf11"/>
              </w:rPr>
              <w:t>(s) of current serving cells and external to the configuration of the LTM candidate cells (same location as RS configuration).</w:t>
            </w:r>
          </w:p>
        </w:tc>
      </w:tr>
    </w:tbl>
    <w:p w14:paraId="79FC3D08" w14:textId="77777777" w:rsidR="000E1339" w:rsidRDefault="000E1339" w:rsidP="00D70041"/>
    <w:p w14:paraId="40C2F432" w14:textId="2512F05B" w:rsidR="00D70041" w:rsidRDefault="00D70041" w:rsidP="00D70041">
      <w:r>
        <w:t>Therefore,</w:t>
      </w:r>
      <w:r w:rsidR="0098739C">
        <w:t xml:space="preserve"> </w:t>
      </w:r>
      <w:r>
        <w:t>activating a TCI state for an LTM candidate cell will place the TCI state on a different active TCI state list than TCI states that are activated for the current serving cells. When LTM candidate cell configuration contains current serving cells, TCI state pools and consequently active TCI state lists for LTM candidate cells and current serving cells may include some same TCI states.</w:t>
      </w:r>
    </w:p>
    <w:p w14:paraId="121EEF0B" w14:textId="0C19DF53" w:rsidR="00D70041" w:rsidRDefault="00D70041" w:rsidP="00D70041">
      <w:pPr>
        <w:pStyle w:val="RAN4observation0"/>
      </w:pPr>
      <w:bookmarkStart w:id="5" w:name="_Toc146741234"/>
      <w:r>
        <w:t xml:space="preserve">TCI states for LTM candidate cells and current serving cells are coming from different TCI state pools. Therefore, active TCI state lists for serving cells and LTM candidate cells are different, and a TCI state may be active on the serving cell active TCI state list but not on the LTM </w:t>
      </w:r>
      <w:r w:rsidR="009660D2">
        <w:t xml:space="preserve">candidate cell </w:t>
      </w:r>
      <w:r>
        <w:t>active TCI state list.</w:t>
      </w:r>
      <w:bookmarkEnd w:id="5"/>
    </w:p>
    <w:p w14:paraId="092575B1" w14:textId="20AC66E2" w:rsidR="001D3627" w:rsidRDefault="00D70041" w:rsidP="00B70A0E">
      <w:r>
        <w:t xml:space="preserve">When the UE receives an LTM cell switch command indicating a TCI state for a target cell that is a current serving cell, we do not see a need for a UE to do the time tracking (activation) for that TCI state for a second time, if the TCI state is already considered active on the serving cell active TCI state list. Instead, the TCI state should be considered already active also in this case. </w:t>
      </w:r>
      <w:r w:rsidR="001D3627">
        <w:t xml:space="preserve">For example, a TCI state which is, however, belonging to the LTM TCI </w:t>
      </w:r>
      <w:r w:rsidR="00C37F8E">
        <w:t xml:space="preserve">state </w:t>
      </w:r>
      <w:r w:rsidR="001D3627">
        <w:t>pool (associated with a current SCell as a part of the LTM configuration) but has common RS configuration (e.g., same RS ID or have relation in terms of QCL assumption as described above) with the activated TCI state of the current beam management pool, can be considered as active for LTM without any need of a separate TCI activation command. E</w:t>
      </w:r>
      <w:r w:rsidR="001D3627" w:rsidRPr="008E6A05">
        <w:t xml:space="preserve">ven if </w:t>
      </w:r>
      <w:r w:rsidR="00C37F8E">
        <w:t xml:space="preserve"> </w:t>
      </w:r>
      <w:r w:rsidR="001D3627" w:rsidRPr="008E6A05">
        <w:t xml:space="preserve">TCI activation </w:t>
      </w:r>
      <w:r w:rsidR="001D3627">
        <w:t>is performed for LTM</w:t>
      </w:r>
      <w:r w:rsidR="001D3627" w:rsidRPr="008E6A05">
        <w:t xml:space="preserve">, and such activation contains a TCI state which can be mapped to an activated </w:t>
      </w:r>
      <w:r w:rsidR="001D3627">
        <w:t>beam management</w:t>
      </w:r>
      <w:r w:rsidR="001D3627" w:rsidRPr="008E6A05">
        <w:t xml:space="preserve"> TCI state (as described above), the activation latency can be considered zero in such a case. </w:t>
      </w:r>
    </w:p>
    <w:p w14:paraId="745E9792" w14:textId="3A0912DD" w:rsidR="00D70041" w:rsidRPr="0047659B" w:rsidRDefault="00D70041" w:rsidP="00B70A0E">
      <w:pPr>
        <w:rPr>
          <w:i/>
          <w:iCs/>
        </w:rPr>
      </w:pPr>
      <w:r>
        <w:t>Same applies for PDCCH order, where the TCI state of the</w:t>
      </w:r>
      <w:r w:rsidR="00B648B1">
        <w:t xml:space="preserve"> </w:t>
      </w:r>
      <w:r>
        <w:t xml:space="preserve">cell </w:t>
      </w:r>
      <w:r w:rsidR="003625A3">
        <w:t xml:space="preserve">in the order </w:t>
      </w:r>
      <w:r w:rsidR="00F9600A">
        <w:t xml:space="preserve">(i.e., TCI state associated with the SSB index given in the PDCCH order) </w:t>
      </w:r>
      <w:r>
        <w:t>shall be considered activated either based on LTM TCI state activation or TCI state activation for the serving cell and the SSB index may be either on the LTM active TCI state list or serving cell active TCI state list</w:t>
      </w:r>
      <w:r w:rsidR="003625A3">
        <w:t xml:space="preserve">. </w:t>
      </w:r>
    </w:p>
    <w:p w14:paraId="6BE9BC8A" w14:textId="40B73C91" w:rsidR="00D70041" w:rsidRDefault="00D70041" w:rsidP="00D70041">
      <w:pPr>
        <w:pStyle w:val="RAN4proposal"/>
      </w:pPr>
      <w:bookmarkStart w:id="6" w:name="_Toc146741235"/>
      <w:r>
        <w:t xml:space="preserve">When the target cell is a current serving cell (role switch) and the target TCI state in LTM cell switch command or SSB index indicated in PDCCH order is already on the active TCI state list for that serving cell </w:t>
      </w:r>
      <w:r w:rsidR="00446892">
        <w:t>or</w:t>
      </w:r>
      <w:r>
        <w:t xml:space="preserve"> on the LTM candidate cell active TCI state list, consider the target TCI state activated.</w:t>
      </w:r>
      <w:bookmarkEnd w:id="6"/>
    </w:p>
    <w:p w14:paraId="00F2E7C2" w14:textId="10F3A666" w:rsidR="00D70041" w:rsidRPr="00D04A9E" w:rsidRDefault="00D70041" w:rsidP="00D70041">
      <w:r>
        <w:t xml:space="preserve">Considering RAN4 requirements, </w:t>
      </w:r>
      <w:r w:rsidR="00AC2302">
        <w:t xml:space="preserve">Proposal </w:t>
      </w:r>
      <w:r w:rsidR="00C028BF">
        <w:t>5</w:t>
      </w:r>
      <w:r w:rsidR="001D3627">
        <w:t xml:space="preserve"> </w:t>
      </w:r>
      <w:r>
        <w:t>means that TCI already being on the “active TCI state list” shall refer to any active TCI state list independent of the TCI state pool.</w:t>
      </w:r>
    </w:p>
    <w:p w14:paraId="57427B71" w14:textId="77777777" w:rsidR="00D70041" w:rsidRPr="00D70041" w:rsidRDefault="00D70041" w:rsidP="00D70041"/>
    <w:p w14:paraId="0A58F456" w14:textId="77777777" w:rsidR="00A67948" w:rsidRDefault="00A67948" w:rsidP="00CF6837"/>
    <w:p w14:paraId="402AE545" w14:textId="6DDEE726" w:rsidR="00332422" w:rsidRDefault="00332422" w:rsidP="00332422">
      <w:pPr>
        <w:pStyle w:val="RAN4H1"/>
        <w:jc w:val="left"/>
      </w:pPr>
      <w:r>
        <w:lastRenderedPageBreak/>
        <w:t>Beam application time</w:t>
      </w:r>
    </w:p>
    <w:p w14:paraId="6853CDC1" w14:textId="2554D814" w:rsidR="00A65C49" w:rsidRPr="008347BE" w:rsidRDefault="00A65C49" w:rsidP="00A65C49">
      <w:r>
        <w:t xml:space="preserve">In the last meeting RAN4 discussed the LS response to RAN1 LS </w:t>
      </w:r>
      <w:r>
        <w:rPr>
          <w:lang w:val="en-GB" w:eastAsia="en-GB"/>
        </w:rPr>
        <w:t>[1], where one of the questions to RAN4 considers beam application time at LTM cell switch. The relevant part of the LS is:</w:t>
      </w:r>
    </w:p>
    <w:tbl>
      <w:tblPr>
        <w:tblStyle w:val="TableGrid"/>
        <w:tblW w:w="0" w:type="auto"/>
        <w:tblLook w:val="04A0" w:firstRow="1" w:lastRow="0" w:firstColumn="1" w:lastColumn="0" w:noHBand="0" w:noVBand="1"/>
      </w:tblPr>
      <w:tblGrid>
        <w:gridCol w:w="9617"/>
      </w:tblGrid>
      <w:tr w:rsidR="00A65C49" w14:paraId="1AF47572" w14:textId="77777777">
        <w:tc>
          <w:tcPr>
            <w:tcW w:w="9617" w:type="dxa"/>
          </w:tcPr>
          <w:p w14:paraId="72095AE6" w14:textId="77777777" w:rsidR="00A65C49" w:rsidRPr="00262A22" w:rsidRDefault="00A65C49" w:rsidP="00895105">
            <w:pPr>
              <w:pStyle w:val="Header"/>
              <w:numPr>
                <w:ilvl w:val="0"/>
                <w:numId w:val="8"/>
              </w:numPr>
              <w:tabs>
                <w:tab w:val="clear" w:pos="4513"/>
                <w:tab w:val="clear" w:pos="9026"/>
              </w:tabs>
              <w:jc w:val="left"/>
              <w:rPr>
                <w:rFonts w:ascii="Arial" w:hAnsi="Arial" w:cs="Arial"/>
                <w:b/>
                <w:sz w:val="16"/>
                <w:szCs w:val="18"/>
                <w:lang w:eastAsia="ja-JP"/>
              </w:rPr>
            </w:pPr>
            <w:r w:rsidRPr="00262A22">
              <w:rPr>
                <w:rFonts w:ascii="Arial" w:hAnsi="Arial" w:cs="Arial"/>
                <w:b/>
                <w:sz w:val="16"/>
                <w:szCs w:val="18"/>
                <w:lang w:eastAsia="ja-JP"/>
              </w:rPr>
              <w:t>Beam application time</w:t>
            </w:r>
          </w:p>
          <w:p w14:paraId="6BF11812" w14:textId="77777777" w:rsidR="00A65C49" w:rsidRPr="00262A22" w:rsidRDefault="00A65C49">
            <w:pPr>
              <w:pStyle w:val="Header"/>
              <w:rPr>
                <w:rFonts w:ascii="Arial" w:hAnsi="Arial" w:cs="Arial"/>
                <w:b/>
                <w:sz w:val="16"/>
                <w:szCs w:val="18"/>
                <w:lang w:eastAsia="ja-JP"/>
              </w:rPr>
            </w:pPr>
          </w:p>
          <w:p w14:paraId="1B3567BF" w14:textId="77777777" w:rsidR="00A65C49" w:rsidRPr="00262A22" w:rsidRDefault="00A65C49">
            <w:pPr>
              <w:pStyle w:val="Header"/>
              <w:rPr>
                <w:rFonts w:ascii="Arial" w:hAnsi="Arial" w:cs="Arial"/>
                <w:bCs/>
                <w:sz w:val="16"/>
                <w:szCs w:val="18"/>
                <w:lang w:eastAsia="ja-JP"/>
              </w:rPr>
            </w:pPr>
            <w:r w:rsidRPr="00262A22">
              <w:rPr>
                <w:rFonts w:ascii="Arial" w:hAnsi="Arial" w:cs="Arial"/>
                <w:bCs/>
                <w:sz w:val="16"/>
                <w:szCs w:val="18"/>
                <w:lang w:eastAsia="ja-JP"/>
              </w:rPr>
              <w:t>RAN1 has made the following agreement in RAN1#113:</w:t>
            </w:r>
          </w:p>
          <w:p w14:paraId="6AD9D1F1" w14:textId="77777777" w:rsidR="00A65C49" w:rsidRPr="00262A22" w:rsidRDefault="00A65C49">
            <w:pPr>
              <w:pStyle w:val="Header"/>
              <w:rPr>
                <w:rFonts w:ascii="Arial" w:hAnsi="Arial" w:cs="Arial"/>
                <w:bCs/>
                <w:sz w:val="16"/>
                <w:szCs w:val="18"/>
                <w:highlight w:val="yellow"/>
                <w:lang w:eastAsia="ja-JP"/>
              </w:rPr>
            </w:pPr>
          </w:p>
          <w:p w14:paraId="4157F64C" w14:textId="77777777" w:rsidR="00A65C49" w:rsidRPr="00262A22" w:rsidRDefault="00A65C49">
            <w:pPr>
              <w:rPr>
                <w:rFonts w:ascii="Arial" w:eastAsia="DengXian" w:hAnsi="Arial" w:cs="Arial"/>
                <w:b/>
                <w:bCs/>
                <w:sz w:val="16"/>
                <w:szCs w:val="18"/>
                <w:highlight w:val="green"/>
                <w:lang w:eastAsia="zh-CN"/>
              </w:rPr>
            </w:pPr>
            <w:r w:rsidRPr="00262A22">
              <w:rPr>
                <w:rFonts w:ascii="Arial" w:eastAsia="DengXian" w:hAnsi="Arial" w:cs="Arial"/>
                <w:b/>
                <w:bCs/>
                <w:sz w:val="16"/>
                <w:szCs w:val="18"/>
                <w:highlight w:val="green"/>
                <w:lang w:eastAsia="zh-CN"/>
              </w:rPr>
              <w:t>Agreement</w:t>
            </w:r>
          </w:p>
          <w:p w14:paraId="6690A33D" w14:textId="77777777" w:rsidR="00A65C49" w:rsidRPr="00262A22" w:rsidRDefault="00A65C49" w:rsidP="00895105">
            <w:pPr>
              <w:pStyle w:val="ListParagraph"/>
              <w:numPr>
                <w:ilvl w:val="0"/>
                <w:numId w:val="5"/>
              </w:numPr>
              <w:snapToGrid w:val="0"/>
              <w:contextualSpacing w:val="0"/>
              <w:rPr>
                <w:rFonts w:ascii="Arial" w:eastAsia="Batang" w:hAnsi="Arial" w:cs="Arial"/>
                <w:sz w:val="16"/>
                <w:szCs w:val="18"/>
              </w:rPr>
            </w:pPr>
            <w:r w:rsidRPr="00262A22">
              <w:rPr>
                <w:rFonts w:ascii="Arial" w:hAnsi="Arial" w:cs="Arial"/>
                <w:sz w:val="16"/>
                <w:szCs w:val="18"/>
              </w:rPr>
              <w:t>For the beam application time for Rel-18 LTM,</w:t>
            </w:r>
          </w:p>
          <w:p w14:paraId="55D34F00" w14:textId="77777777" w:rsidR="00A65C49" w:rsidRPr="00262A22" w:rsidRDefault="00A65C49" w:rsidP="00895105">
            <w:pPr>
              <w:pStyle w:val="ListParagraph"/>
              <w:numPr>
                <w:ilvl w:val="1"/>
                <w:numId w:val="5"/>
              </w:numPr>
              <w:snapToGrid w:val="0"/>
              <w:contextualSpacing w:val="0"/>
              <w:rPr>
                <w:rFonts w:ascii="Arial" w:hAnsi="Arial" w:cs="Arial"/>
                <w:sz w:val="16"/>
                <w:szCs w:val="18"/>
              </w:rPr>
            </w:pPr>
            <w:r w:rsidRPr="00262A22">
              <w:rPr>
                <w:rFonts w:ascii="Arial" w:hAnsi="Arial" w:cs="Arial"/>
                <w:sz w:val="16"/>
                <w:szCs w:val="18"/>
              </w:rPr>
              <w:t>Beam application time is supported, and starts after the last symbol of the PUCCH or PUSCH carrying the HARQ-ACK for the PDSCH which carries MAC-CE containing cell switch command with the beam indication for the target cell(s)</w:t>
            </w:r>
          </w:p>
          <w:p w14:paraId="268A85CC" w14:textId="77777777" w:rsidR="00A65C49" w:rsidRPr="00262A22" w:rsidRDefault="00A65C49" w:rsidP="00895105">
            <w:pPr>
              <w:pStyle w:val="ListParagraph"/>
              <w:numPr>
                <w:ilvl w:val="2"/>
                <w:numId w:val="5"/>
              </w:numPr>
              <w:snapToGrid w:val="0"/>
              <w:contextualSpacing w:val="0"/>
              <w:rPr>
                <w:rFonts w:ascii="Arial" w:hAnsi="Arial" w:cs="Arial"/>
                <w:sz w:val="16"/>
                <w:szCs w:val="18"/>
              </w:rPr>
            </w:pPr>
            <w:r w:rsidRPr="00262A22">
              <w:rPr>
                <w:rFonts w:ascii="Arial" w:hAnsi="Arial" w:cs="Arial"/>
                <w:sz w:val="16"/>
                <w:szCs w:val="18"/>
              </w:rPr>
              <w:t>FFS: reference SCS, i.e. serving cell and/or target cell</w:t>
            </w:r>
          </w:p>
          <w:p w14:paraId="2B3BB1EF" w14:textId="77777777" w:rsidR="00A65C49" w:rsidRPr="00262A22" w:rsidRDefault="00A65C49" w:rsidP="00895105">
            <w:pPr>
              <w:pStyle w:val="ListParagraph"/>
              <w:numPr>
                <w:ilvl w:val="1"/>
                <w:numId w:val="5"/>
              </w:numPr>
              <w:snapToGrid w:val="0"/>
              <w:contextualSpacing w:val="0"/>
              <w:rPr>
                <w:rFonts w:ascii="Arial" w:hAnsi="Arial" w:cs="Arial"/>
                <w:sz w:val="16"/>
                <w:szCs w:val="18"/>
              </w:rPr>
            </w:pPr>
            <w:r w:rsidRPr="00262A22">
              <w:rPr>
                <w:rFonts w:ascii="Arial" w:hAnsi="Arial" w:cs="Arial"/>
                <w:sz w:val="16"/>
                <w:szCs w:val="18"/>
              </w:rPr>
              <w:t>At least the following components are further studied to define the beam application time</w:t>
            </w:r>
          </w:p>
          <w:p w14:paraId="2C25FAF6" w14:textId="77777777" w:rsidR="00A65C49" w:rsidRPr="00262A22" w:rsidRDefault="00A65C49" w:rsidP="00895105">
            <w:pPr>
              <w:pStyle w:val="ListParagraph"/>
              <w:numPr>
                <w:ilvl w:val="2"/>
                <w:numId w:val="5"/>
              </w:numPr>
              <w:snapToGrid w:val="0"/>
              <w:contextualSpacing w:val="0"/>
              <w:rPr>
                <w:rFonts w:ascii="Arial" w:hAnsi="Arial" w:cs="Arial"/>
                <w:sz w:val="16"/>
                <w:szCs w:val="18"/>
              </w:rPr>
            </w:pPr>
            <w:r w:rsidRPr="00262A22">
              <w:rPr>
                <w:rFonts w:ascii="Arial" w:hAnsi="Arial" w:cs="Arial"/>
                <w:sz w:val="16"/>
                <w:szCs w:val="18"/>
              </w:rPr>
              <w:t>Whether TCI state activation is received before/together with cell switch command</w:t>
            </w:r>
          </w:p>
          <w:p w14:paraId="481980BD" w14:textId="77777777" w:rsidR="00A65C49" w:rsidRPr="00262A22" w:rsidRDefault="00A65C49" w:rsidP="00895105">
            <w:pPr>
              <w:pStyle w:val="ListParagraph"/>
              <w:numPr>
                <w:ilvl w:val="2"/>
                <w:numId w:val="5"/>
              </w:numPr>
              <w:snapToGrid w:val="0"/>
              <w:contextualSpacing w:val="0"/>
              <w:rPr>
                <w:rFonts w:ascii="Arial" w:hAnsi="Arial" w:cs="Arial"/>
                <w:sz w:val="16"/>
                <w:szCs w:val="18"/>
              </w:rPr>
            </w:pPr>
            <w:r w:rsidRPr="00262A22">
              <w:rPr>
                <w:rFonts w:ascii="Arial" w:hAnsi="Arial" w:cs="Arial"/>
                <w:iCs/>
                <w:sz w:val="16"/>
                <w:szCs w:val="18"/>
              </w:rPr>
              <w:t xml:space="preserve">Legacy values, i.e. </w:t>
            </w:r>
            <w:r w:rsidRPr="00262A22">
              <w:rPr>
                <w:rFonts w:ascii="Arial" w:hAnsi="Arial" w:cs="Arial"/>
                <w:iCs/>
                <w:sz w:val="16"/>
                <w:szCs w:val="18"/>
              </w:rPr>
              <w:fldChar w:fldCharType="begin"/>
            </w:r>
            <w:r w:rsidRPr="00262A22">
              <w:rPr>
                <w:rFonts w:ascii="Arial" w:hAnsi="Arial" w:cs="Arial"/>
                <w:iCs/>
                <w:sz w:val="16"/>
                <w:szCs w:val="18"/>
              </w:rPr>
              <w:instrText xml:space="preserve"> QUOTE </w:instrText>
            </w:r>
            <w:r w:rsidR="00C37F8E">
              <w:rPr>
                <w:rFonts w:ascii="Arial" w:hAnsi="Arial" w:cs="Arial"/>
                <w:position w:val="-6"/>
                <w:sz w:val="16"/>
                <w:szCs w:val="18"/>
              </w:rPr>
              <w:pict w14:anchorId="5922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4.4pt" equationxml="&lt;">
                  <v:imagedata r:id="rId13" o:title="" chromakey="white"/>
                </v:shape>
              </w:pict>
            </w:r>
            <w:r w:rsidRPr="00262A22">
              <w:rPr>
                <w:rFonts w:ascii="Arial" w:hAnsi="Arial" w:cs="Arial"/>
                <w:iCs/>
                <w:sz w:val="16"/>
                <w:szCs w:val="18"/>
              </w:rPr>
              <w:instrText xml:space="preserve"> </w:instrText>
            </w:r>
            <w:r w:rsidRPr="00262A22">
              <w:rPr>
                <w:rFonts w:ascii="Arial" w:hAnsi="Arial" w:cs="Arial"/>
                <w:iCs/>
                <w:sz w:val="16"/>
                <w:szCs w:val="18"/>
              </w:rPr>
              <w:fldChar w:fldCharType="separate"/>
            </w:r>
            <w:r w:rsidR="00C37F8E">
              <w:rPr>
                <w:rFonts w:ascii="Arial" w:hAnsi="Arial" w:cs="Arial"/>
                <w:position w:val="-6"/>
                <w:sz w:val="16"/>
                <w:szCs w:val="18"/>
              </w:rPr>
              <w:pict w14:anchorId="291A12E6">
                <v:shape id="_x0000_i1026" type="#_x0000_t75" style="width:53.85pt;height:14.4pt" equationxml="&lt;">
                  <v:imagedata r:id="rId13" o:title="" chromakey="white"/>
                </v:shape>
              </w:pict>
            </w:r>
            <w:r w:rsidRPr="00262A22">
              <w:rPr>
                <w:rFonts w:ascii="Arial" w:hAnsi="Arial" w:cs="Arial"/>
                <w:iCs/>
                <w:sz w:val="16"/>
                <w:szCs w:val="18"/>
              </w:rPr>
              <w:fldChar w:fldCharType="end"/>
            </w:r>
            <w:r w:rsidRPr="00262A22">
              <w:rPr>
                <w:rFonts w:ascii="Arial" w:hAnsi="Arial" w:cs="Arial"/>
                <w:iCs/>
                <w:sz w:val="16"/>
                <w:szCs w:val="18"/>
              </w:rPr>
              <w:t xml:space="preserve"> and BeamAppTime-r17</w:t>
            </w:r>
          </w:p>
          <w:p w14:paraId="156CB68B" w14:textId="77777777" w:rsidR="00A65C49" w:rsidRPr="00262A22" w:rsidRDefault="00A65C49" w:rsidP="00895105">
            <w:pPr>
              <w:pStyle w:val="ListParagraph"/>
              <w:numPr>
                <w:ilvl w:val="2"/>
                <w:numId w:val="5"/>
              </w:numPr>
              <w:snapToGrid w:val="0"/>
              <w:contextualSpacing w:val="0"/>
              <w:rPr>
                <w:rFonts w:ascii="Arial" w:hAnsi="Arial" w:cs="Arial"/>
                <w:sz w:val="16"/>
                <w:szCs w:val="18"/>
              </w:rPr>
            </w:pPr>
            <w:r w:rsidRPr="00262A22">
              <w:rPr>
                <w:rFonts w:ascii="Arial" w:hAnsi="Arial" w:cs="Arial"/>
                <w:bCs/>
                <w:iCs/>
                <w:sz w:val="16"/>
                <w:szCs w:val="18"/>
              </w:rPr>
              <w:t>RF retuning time when inter-frequency switch is performed, which is up to RAN4</w:t>
            </w:r>
          </w:p>
          <w:p w14:paraId="06A3AAD9" w14:textId="77777777" w:rsidR="00A65C49" w:rsidRPr="00262A22" w:rsidRDefault="00A65C49" w:rsidP="00895105">
            <w:pPr>
              <w:pStyle w:val="ListParagraph"/>
              <w:numPr>
                <w:ilvl w:val="2"/>
                <w:numId w:val="5"/>
              </w:numPr>
              <w:snapToGrid w:val="0"/>
              <w:contextualSpacing w:val="0"/>
              <w:rPr>
                <w:rFonts w:ascii="Arial" w:hAnsi="Arial" w:cs="Arial"/>
                <w:sz w:val="16"/>
                <w:szCs w:val="18"/>
              </w:rPr>
            </w:pPr>
            <w:r w:rsidRPr="00262A22">
              <w:rPr>
                <w:rFonts w:ascii="Arial" w:hAnsi="Arial" w:cs="Arial"/>
                <w:bCs/>
                <w:iCs/>
                <w:sz w:val="16"/>
                <w:szCs w:val="18"/>
              </w:rPr>
              <w:t>Whether the target cell is one of the current serving cells</w:t>
            </w:r>
          </w:p>
          <w:p w14:paraId="4FDDEAB9" w14:textId="77777777" w:rsidR="00A65C49" w:rsidRPr="00262A22" w:rsidRDefault="00A65C49" w:rsidP="00895105">
            <w:pPr>
              <w:pStyle w:val="ListParagraph"/>
              <w:numPr>
                <w:ilvl w:val="0"/>
                <w:numId w:val="5"/>
              </w:numPr>
              <w:snapToGrid w:val="0"/>
              <w:contextualSpacing w:val="0"/>
              <w:rPr>
                <w:rFonts w:ascii="Arial" w:hAnsi="Arial" w:cs="Arial"/>
                <w:sz w:val="16"/>
                <w:szCs w:val="18"/>
              </w:rPr>
            </w:pPr>
            <w:r w:rsidRPr="00262A22">
              <w:rPr>
                <w:rFonts w:ascii="Arial" w:hAnsi="Arial" w:cs="Arial"/>
                <w:sz w:val="16"/>
                <w:szCs w:val="18"/>
              </w:rPr>
              <w:t xml:space="preserve">Cell switching time, which is defined by RAN2 and RAN4, may or may not include the potential components of beam application time above. </w:t>
            </w:r>
          </w:p>
          <w:p w14:paraId="0F829546" w14:textId="77777777" w:rsidR="00A65C49" w:rsidRPr="00262A22" w:rsidRDefault="00A65C49">
            <w:pPr>
              <w:pStyle w:val="Header"/>
              <w:rPr>
                <w:rFonts w:ascii="Arial" w:hAnsi="Arial" w:cs="Arial"/>
                <w:bCs/>
                <w:sz w:val="16"/>
                <w:szCs w:val="18"/>
                <w:highlight w:val="yellow"/>
                <w:lang w:eastAsia="ja-JP"/>
              </w:rPr>
            </w:pPr>
          </w:p>
          <w:p w14:paraId="1FA55EA5" w14:textId="77777777" w:rsidR="00A65C49" w:rsidRPr="00262A22" w:rsidRDefault="00A65C49">
            <w:pPr>
              <w:pStyle w:val="Header"/>
              <w:rPr>
                <w:rFonts w:ascii="Arial" w:hAnsi="Arial" w:cs="Arial"/>
                <w:bCs/>
                <w:sz w:val="16"/>
                <w:szCs w:val="18"/>
                <w:lang w:eastAsia="ja-JP"/>
              </w:rPr>
            </w:pPr>
            <w:r w:rsidRPr="00262A22">
              <w:rPr>
                <w:rFonts w:ascii="Arial" w:hAnsi="Arial" w:cs="Arial"/>
                <w:bCs/>
                <w:sz w:val="16"/>
                <w:szCs w:val="18"/>
                <w:lang w:eastAsia="ja-JP"/>
              </w:rPr>
              <w:t>RAN1 respectfully asks RAN2 and RAN4 to provide their feedback to complete the RAN1 work on beam switching time for LTM.</w:t>
            </w:r>
          </w:p>
          <w:p w14:paraId="262CACF8" w14:textId="77777777" w:rsidR="00A65C49" w:rsidRDefault="00A65C49">
            <w:pPr>
              <w:rPr>
                <w:lang w:val="en-GB" w:eastAsia="en-GB"/>
              </w:rPr>
            </w:pPr>
          </w:p>
        </w:tc>
      </w:tr>
    </w:tbl>
    <w:p w14:paraId="2785F55E" w14:textId="77777777" w:rsidR="00A65C49" w:rsidRDefault="00A65C49" w:rsidP="00A65C49"/>
    <w:p w14:paraId="66184656" w14:textId="23B40CF9" w:rsidR="00ED5E03" w:rsidRDefault="00ED5E03" w:rsidP="00A65C49">
      <w:r>
        <w:t>The response RAN4 sent in the last meeting was</w:t>
      </w:r>
      <w:r w:rsidR="002E4E92">
        <w:t xml:space="preserve"> just to inform RAN1 about the ongoing RAN4 discussions.</w:t>
      </w:r>
    </w:p>
    <w:tbl>
      <w:tblPr>
        <w:tblStyle w:val="TableGrid"/>
        <w:tblW w:w="0" w:type="auto"/>
        <w:tblCellMar>
          <w:top w:w="57" w:type="dxa"/>
          <w:bottom w:w="57" w:type="dxa"/>
        </w:tblCellMar>
        <w:tblLook w:val="04A0" w:firstRow="1" w:lastRow="0" w:firstColumn="1" w:lastColumn="0" w:noHBand="0" w:noVBand="1"/>
      </w:tblPr>
      <w:tblGrid>
        <w:gridCol w:w="9617"/>
      </w:tblGrid>
      <w:tr w:rsidR="003D3275" w14:paraId="787C9438" w14:textId="77777777" w:rsidTr="004D0803">
        <w:tc>
          <w:tcPr>
            <w:tcW w:w="9617" w:type="dxa"/>
          </w:tcPr>
          <w:p w14:paraId="5F45167D" w14:textId="77CB0822" w:rsidR="003D3275" w:rsidRPr="003D3275" w:rsidRDefault="003D3275" w:rsidP="00A65C49">
            <w:pPr>
              <w:rPr>
                <w:rFonts w:ascii="Arial" w:hAnsi="Arial" w:cs="Arial"/>
              </w:rPr>
            </w:pPr>
            <w:r w:rsidRPr="003D3275">
              <w:rPr>
                <w:rFonts w:ascii="Arial" w:hAnsi="Arial" w:cs="Arial"/>
              </w:rPr>
              <w:t>RAN4 is still discussing whether beam application time shall be taken into account in RAN4 cell switch delay requirements and the possible latency when UE is ready for PDCCH in target cell in different scenarios.</w:t>
            </w:r>
          </w:p>
        </w:tc>
      </w:tr>
    </w:tbl>
    <w:p w14:paraId="2531DD8B" w14:textId="77777777" w:rsidR="00ED5E03" w:rsidRPr="00A65C49" w:rsidRDefault="00ED5E03" w:rsidP="00A65C49"/>
    <w:p w14:paraId="33702F95" w14:textId="031778DF" w:rsidR="00774DBE" w:rsidRDefault="00774DBE" w:rsidP="00774DBE">
      <w:pPr>
        <w:rPr>
          <w:lang w:val="en-GB" w:eastAsia="en-GB"/>
        </w:rPr>
      </w:pPr>
      <w:r>
        <w:rPr>
          <w:szCs w:val="20"/>
        </w:rPr>
        <w:t>For legacy unified TCI state switching requirements, beam application time is defined for DCI-based TCI state switch (indication) as below:</w:t>
      </w:r>
    </w:p>
    <w:tbl>
      <w:tblPr>
        <w:tblStyle w:val="TableGrid"/>
        <w:tblW w:w="0" w:type="auto"/>
        <w:tblLook w:val="04A0" w:firstRow="1" w:lastRow="0" w:firstColumn="1" w:lastColumn="0" w:noHBand="0" w:noVBand="1"/>
      </w:tblPr>
      <w:tblGrid>
        <w:gridCol w:w="9617"/>
      </w:tblGrid>
      <w:tr w:rsidR="00774DBE" w14:paraId="68C149A9" w14:textId="77777777">
        <w:tc>
          <w:tcPr>
            <w:tcW w:w="9617" w:type="dxa"/>
          </w:tcPr>
          <w:p w14:paraId="71DE32A7" w14:textId="77777777" w:rsidR="00774DBE" w:rsidRPr="003823AE" w:rsidRDefault="00774DB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GB"/>
              </w:rPr>
            </w:pPr>
            <w:r w:rsidRPr="003823AE">
              <w:rPr>
                <w:rFonts w:ascii="Arial" w:eastAsia="Times New Roman" w:hAnsi="Arial" w:cs="Times New Roman"/>
                <w:sz w:val="28"/>
                <w:szCs w:val="20"/>
                <w:lang w:val="en-GB" w:eastAsia="en-GB"/>
              </w:rPr>
              <w:t>8.15.4</w:t>
            </w:r>
            <w:r w:rsidRPr="003823AE">
              <w:rPr>
                <w:rFonts w:ascii="Arial" w:eastAsia="Times New Roman" w:hAnsi="Arial" w:cs="Times New Roman"/>
                <w:sz w:val="28"/>
                <w:szCs w:val="20"/>
                <w:lang w:val="en-GB" w:eastAsia="en-GB"/>
              </w:rPr>
              <w:tab/>
              <w:t>DCI based downlink TCI state switch delay</w:t>
            </w:r>
          </w:p>
          <w:p w14:paraId="744A3477" w14:textId="77777777" w:rsidR="00774DBE" w:rsidRPr="003823AE" w:rsidRDefault="00774DBE">
            <w:pPr>
              <w:overflowPunct w:val="0"/>
              <w:autoSpaceDE w:val="0"/>
              <w:autoSpaceDN w:val="0"/>
              <w:adjustRightInd w:val="0"/>
              <w:spacing w:after="180"/>
              <w:textAlignment w:val="baseline"/>
              <w:rPr>
                <w:rFonts w:eastAsia="Times New Roman" w:cs="Times New Roman"/>
                <w:szCs w:val="20"/>
                <w:lang w:val="en-GB" w:eastAsia="en-GB"/>
              </w:rPr>
            </w:pPr>
            <w:r w:rsidRPr="003823AE">
              <w:rPr>
                <w:rFonts w:eastAsia="Times New Roman" w:cs="Times New Roman"/>
                <w:szCs w:val="20"/>
                <w:lang w:val="en-GB" w:eastAsia="en-GB"/>
              </w:rPr>
              <w:t xml:space="preserve">When a UE is configured with the higher layer parameter with </w:t>
            </w:r>
            <w:r w:rsidRPr="003823AE">
              <w:rPr>
                <w:rFonts w:eastAsia="Times New Roman" w:cs="Times New Roman"/>
                <w:i/>
                <w:iCs/>
                <w:szCs w:val="20"/>
                <w:lang w:val="en-GB" w:eastAsia="en-GB"/>
              </w:rPr>
              <w:t xml:space="preserve">DLorJointTCIState </w:t>
            </w:r>
            <w:r w:rsidRPr="003823AE">
              <w:rPr>
                <w:rFonts w:eastAsia="Times New Roman" w:cs="Times New Roman"/>
                <w:szCs w:val="20"/>
                <w:lang w:val="en-GB" w:eastAsia="en-GB"/>
              </w:rPr>
              <w:t>or</w:t>
            </w:r>
            <w:r w:rsidRPr="003823AE">
              <w:rPr>
                <w:rFonts w:eastAsia="Times New Roman" w:cs="Times New Roman"/>
                <w:i/>
                <w:iCs/>
                <w:szCs w:val="20"/>
                <w:lang w:val="en-GB" w:eastAsia="en-GB"/>
              </w:rPr>
              <w:t xml:space="preserve"> UL-TCIState,</w:t>
            </w:r>
            <w:r w:rsidRPr="003823AE">
              <w:rPr>
                <w:rFonts w:eastAsia="Times New Roman" w:cs="Times New Roman"/>
                <w:szCs w:val="20"/>
                <w:lang w:val="en-GB" w:eastAsia="en-GB"/>
              </w:rP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5DCBA68D" w14:textId="77777777" w:rsidR="00774DBE" w:rsidRDefault="00774DBE">
            <w:pPr>
              <w:overflowPunct w:val="0"/>
              <w:autoSpaceDE w:val="0"/>
              <w:autoSpaceDN w:val="0"/>
              <w:adjustRightInd w:val="0"/>
              <w:spacing w:after="180"/>
              <w:textAlignment w:val="baseline"/>
              <w:rPr>
                <w:lang w:val="en-GB" w:eastAsia="en-GB"/>
              </w:rPr>
            </w:pPr>
            <w:r w:rsidRPr="003823AE">
              <w:rPr>
                <w:rFonts w:eastAsia="Times New Roman" w:cs="Times New Roman"/>
                <w:szCs w:val="20"/>
                <w:lang w:val="en-GB" w:eastAsia="en-GB"/>
              </w:rPr>
              <w:t>If the target TCI state is known, the downlink TCI switching to the indicated D</w:t>
            </w:r>
            <w:r w:rsidRPr="003823AE">
              <w:rPr>
                <w:rFonts w:eastAsia="Times New Roman" w:cs="Times New Roman"/>
                <w:szCs w:val="20"/>
                <w:lang w:eastAsia="zh-CN"/>
              </w:rPr>
              <w:t>L TCI state or joint TCI state</w:t>
            </w:r>
            <w:r w:rsidRPr="003823AE">
              <w:rPr>
                <w:rFonts w:eastAsia="Times New Roman" w:cs="Times New Roman"/>
                <w:szCs w:val="20"/>
                <w:lang w:val="en-GB" w:eastAsia="en-GB"/>
              </w:rPr>
              <w:t xml:space="preserve"> in the DCI format shall be completed starting from the first slot that is at least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symbols after the last symbol of the PUCCH carrying HARQ-AC</w:t>
            </w:r>
            <w:r w:rsidRPr="003823AE">
              <w:rPr>
                <w:rFonts w:eastAsia="Times New Roman" w:cs="Times New Roman"/>
                <w:szCs w:val="20"/>
                <w:lang w:val="sv-SE" w:eastAsia="zh-CN"/>
              </w:rPr>
              <w:t>K</w:t>
            </w:r>
            <w:r w:rsidRPr="003823AE">
              <w:rPr>
                <w:rFonts w:eastAsia="Times New Roman" w:cs="Times New Roman"/>
                <w:szCs w:val="20"/>
                <w:lang w:val="en-GB" w:eastAsia="en-GB"/>
              </w:rPr>
              <w:t xml:space="preserve"> in response to</w:t>
            </w:r>
            <w:r w:rsidRPr="003823AE">
              <w:rPr>
                <w:rFonts w:eastAsia="Times New Roman" w:cs="Times New Roman"/>
                <w:szCs w:val="20"/>
                <w:lang w:val="sv-SE" w:eastAsia="zh-CN"/>
              </w:rPr>
              <w:t xml:space="preserve"> the DCI triggering TCI state activation</w:t>
            </w:r>
            <w:r w:rsidRPr="003823AE">
              <w:rPr>
                <w:rFonts w:eastAsia="Times New Roman" w:cs="Times New Roman"/>
                <w:szCs w:val="20"/>
                <w:lang w:val="en-GB" w:eastAsia="en-GB"/>
              </w:rPr>
              <w:t xml:space="preserve">. The first slot and the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symbols are both determined on the carrier with the smallest SCS among the carrier(s) applying the beam indication. The value of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is defined in TS 38.331 [2]. The known condition for TCI state defined in clause 8.15.2 is applied.</w:t>
            </w:r>
          </w:p>
        </w:tc>
      </w:tr>
    </w:tbl>
    <w:p w14:paraId="5A33BB73" w14:textId="77777777" w:rsidR="00774DBE" w:rsidRDefault="00774DBE" w:rsidP="00774DBE">
      <w:pPr>
        <w:rPr>
          <w:lang w:val="en-GB" w:eastAsia="en-GB"/>
        </w:rPr>
      </w:pPr>
    </w:p>
    <w:p w14:paraId="0DAB0991" w14:textId="77777777" w:rsidR="00774DBE" w:rsidRDefault="00774DBE" w:rsidP="00774DBE">
      <w:pPr>
        <w:rPr>
          <w:rFonts w:eastAsia="Times New Roman" w:cs="Times New Roman"/>
          <w:szCs w:val="20"/>
          <w:lang w:val="sv-SE" w:eastAsia="zh-CN"/>
        </w:rPr>
      </w:pPr>
      <w:r>
        <w:rPr>
          <w:lang w:val="en-GB" w:eastAsia="en-GB"/>
        </w:rPr>
        <w:t xml:space="preserve">As shown above, the delay starting point is the </w:t>
      </w:r>
      <w:r w:rsidRPr="003823AE">
        <w:rPr>
          <w:rFonts w:eastAsia="Times New Roman" w:cs="Times New Roman"/>
          <w:szCs w:val="20"/>
          <w:lang w:val="en-GB" w:eastAsia="en-GB"/>
        </w:rPr>
        <w:t>UE t</w:t>
      </w:r>
      <w:r>
        <w:rPr>
          <w:rFonts w:eastAsia="Times New Roman" w:cs="Times New Roman"/>
          <w:szCs w:val="20"/>
          <w:lang w:val="en-GB" w:eastAsia="en-GB"/>
        </w:rPr>
        <w:t>ransmission of</w:t>
      </w:r>
      <w:r w:rsidRPr="003823AE">
        <w:rPr>
          <w:rFonts w:eastAsia="Times New Roman" w:cs="Times New Roman"/>
          <w:szCs w:val="20"/>
          <w:lang w:val="en-GB" w:eastAsia="en-GB"/>
        </w:rPr>
        <w:t xml:space="preserve"> a PUCCH with HARQ-ACK information corresponding to the DCI carrying the TCI-State indication</w:t>
      </w:r>
      <w:r>
        <w:rPr>
          <w:rFonts w:eastAsia="Times New Roman" w:cs="Times New Roman"/>
          <w:szCs w:val="20"/>
          <w:lang w:val="en-GB" w:eastAsia="en-GB"/>
        </w:rPr>
        <w:t>. The ending point is at the</w:t>
      </w:r>
      <w:r w:rsidRPr="003823AE">
        <w:rPr>
          <w:rFonts w:eastAsia="Times New Roman" w:cs="Times New Roman"/>
          <w:szCs w:val="20"/>
          <w:lang w:val="en-GB" w:eastAsia="en-GB"/>
        </w:rPr>
        <w:t xml:space="preserve"> first slot that is at least </w:t>
      </w:r>
      <w:r w:rsidRPr="003823AE">
        <w:rPr>
          <w:rFonts w:eastAsia="Times New Roman" w:cs="Times New Roman"/>
          <w:i/>
          <w:iCs/>
          <w:szCs w:val="20"/>
          <w:lang w:val="en-GB" w:eastAsia="en-GB"/>
        </w:rPr>
        <w:t>BeamAppTime</w:t>
      </w:r>
      <w:r w:rsidRPr="003823AE">
        <w:rPr>
          <w:rFonts w:eastAsia="Times New Roman" w:cs="Times New Roman" w:hint="eastAsia"/>
          <w:i/>
          <w:iCs/>
          <w:szCs w:val="20"/>
          <w:lang w:val="en-GB" w:eastAsia="zh-CN"/>
        </w:rPr>
        <w:t>-</w:t>
      </w:r>
      <w:r w:rsidRPr="003823AE">
        <w:rPr>
          <w:rFonts w:eastAsia="Times New Roman" w:cs="Times New Roman"/>
          <w:i/>
          <w:iCs/>
          <w:szCs w:val="20"/>
          <w:lang w:val="en-GB" w:eastAsia="en-GB"/>
        </w:rPr>
        <w:t>r17</w:t>
      </w:r>
      <w:r w:rsidRPr="003823AE">
        <w:rPr>
          <w:rFonts w:eastAsia="Times New Roman" w:cs="Times New Roman"/>
          <w:szCs w:val="20"/>
          <w:lang w:val="en-GB" w:eastAsia="en-GB"/>
        </w:rPr>
        <w:t xml:space="preserve"> symbols after the last symbol of the PUCCH carrying HARQ-AC</w:t>
      </w:r>
      <w:r w:rsidRPr="003823AE">
        <w:rPr>
          <w:rFonts w:eastAsia="Times New Roman" w:cs="Times New Roman"/>
          <w:szCs w:val="20"/>
          <w:lang w:val="sv-SE" w:eastAsia="zh-CN"/>
        </w:rPr>
        <w:t>K</w:t>
      </w:r>
      <w:r w:rsidRPr="003823AE">
        <w:rPr>
          <w:rFonts w:eastAsia="Times New Roman" w:cs="Times New Roman"/>
          <w:szCs w:val="20"/>
          <w:lang w:val="en-GB" w:eastAsia="en-GB"/>
        </w:rPr>
        <w:t xml:space="preserve"> in response to</w:t>
      </w:r>
      <w:r w:rsidRPr="003823AE">
        <w:rPr>
          <w:rFonts w:eastAsia="Times New Roman" w:cs="Times New Roman"/>
          <w:szCs w:val="20"/>
          <w:lang w:val="sv-SE" w:eastAsia="zh-CN"/>
        </w:rPr>
        <w:t xml:space="preserve"> the DCI triggering </w:t>
      </w:r>
      <w:r>
        <w:rPr>
          <w:rFonts w:eastAsia="Times New Roman" w:cs="Times New Roman"/>
          <w:szCs w:val="20"/>
          <w:lang w:val="sv-SE" w:eastAsia="zh-CN"/>
        </w:rPr>
        <w:t xml:space="preserve">the </w:t>
      </w:r>
      <w:r w:rsidRPr="003823AE">
        <w:rPr>
          <w:rFonts w:eastAsia="Times New Roman" w:cs="Times New Roman"/>
          <w:szCs w:val="20"/>
          <w:lang w:val="sv-SE" w:eastAsia="zh-CN"/>
        </w:rPr>
        <w:t>TCI state activation</w:t>
      </w:r>
      <w:r>
        <w:rPr>
          <w:rFonts w:eastAsia="Times New Roman" w:cs="Times New Roman"/>
          <w:szCs w:val="20"/>
          <w:lang w:val="sv-SE" w:eastAsia="zh-CN"/>
        </w:rPr>
        <w:t>.</w:t>
      </w:r>
    </w:p>
    <w:p w14:paraId="759AAA88" w14:textId="77777777" w:rsidR="00774DBE" w:rsidRDefault="00774DBE" w:rsidP="00774DBE">
      <w:pPr>
        <w:rPr>
          <w:rFonts w:eastAsia="Times New Roman" w:cs="Times New Roman"/>
          <w:szCs w:val="20"/>
          <w:lang w:val="sv-SE" w:eastAsia="zh-CN"/>
        </w:rPr>
      </w:pPr>
      <w:r>
        <w:rPr>
          <w:rFonts w:eastAsia="Times New Roman" w:cs="Times New Roman"/>
          <w:szCs w:val="20"/>
          <w:lang w:val="sv-SE" w:eastAsia="zh-CN"/>
        </w:rPr>
        <w:t>BeamAppTime-r17 is defined in TS 38.133 and gets the following values:</w:t>
      </w:r>
    </w:p>
    <w:p w14:paraId="498D1FB6" w14:textId="77777777" w:rsidR="00774DBE" w:rsidRDefault="00774DBE" w:rsidP="00774DBE">
      <w:pPr>
        <w:jc w:val="center"/>
        <w:rPr>
          <w:rFonts w:eastAsia="Times New Roman" w:cs="Times New Roman"/>
          <w:szCs w:val="20"/>
          <w:lang w:val="sv-SE" w:eastAsia="zh-CN"/>
        </w:rPr>
      </w:pPr>
      <w:r>
        <w:rPr>
          <w:noProof/>
        </w:rPr>
        <w:drawing>
          <wp:inline distT="0" distB="0" distL="0" distR="0" wp14:anchorId="771F58E8" wp14:editId="08A2A230">
            <wp:extent cx="6398676" cy="2146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74115" cy="223926"/>
                    </a:xfrm>
                    <a:prstGeom prst="rect">
                      <a:avLst/>
                    </a:prstGeom>
                  </pic:spPr>
                </pic:pic>
              </a:graphicData>
            </a:graphic>
          </wp:inline>
        </w:drawing>
      </w:r>
    </w:p>
    <w:p w14:paraId="00090BEB" w14:textId="77777777" w:rsidR="00774DBE" w:rsidRPr="00367F07" w:rsidRDefault="00774DBE" w:rsidP="00774DBE">
      <w:pPr>
        <w:pStyle w:val="RAN4observation0"/>
        <w:rPr>
          <w:lang w:val="en-GB" w:eastAsia="en-GB"/>
        </w:rPr>
      </w:pPr>
      <w:bookmarkStart w:id="7" w:name="_Toc142663275"/>
      <w:bookmarkStart w:id="8" w:name="_Toc146741236"/>
      <w:r>
        <w:rPr>
          <w:lang w:val="en-GB" w:eastAsia="en-GB"/>
        </w:rPr>
        <w:t>For DCI-based TCI state indication in Rel-17, beam application time is</w:t>
      </w:r>
      <w:r w:rsidRPr="00367F07">
        <w:rPr>
          <w:lang w:val="en-GB" w:eastAsia="en-GB"/>
        </w:rPr>
        <w:t xml:space="preserve"> defined as the time from when the network receives from the UE a HARQ-ACK response to the DCI until the slot </w:t>
      </w:r>
      <w:r>
        <w:rPr>
          <w:lang w:val="en-GB" w:eastAsia="en-GB"/>
        </w:rPr>
        <w:t>where the indicated TCI state is considered applied.</w:t>
      </w:r>
      <w:bookmarkEnd w:id="7"/>
      <w:bookmarkEnd w:id="8"/>
      <w:r>
        <w:rPr>
          <w:lang w:val="en-GB" w:eastAsia="en-GB"/>
        </w:rPr>
        <w:t xml:space="preserve"> </w:t>
      </w:r>
    </w:p>
    <w:p w14:paraId="3D0FCA73" w14:textId="122A62A5" w:rsidR="00774DBE" w:rsidRPr="00B51CA4" w:rsidRDefault="00774DBE" w:rsidP="00774DBE">
      <w:pPr>
        <w:rPr>
          <w:rFonts w:cs="Times New Roman"/>
          <w:szCs w:val="20"/>
          <w:lang w:val="en-GB" w:eastAsia="en-GB"/>
        </w:rPr>
      </w:pPr>
      <w:r w:rsidRPr="001B6110">
        <w:rPr>
          <w:rFonts w:cs="Times New Roman"/>
          <w:szCs w:val="20"/>
          <w:lang w:val="en-GB" w:eastAsia="en-GB"/>
        </w:rPr>
        <w:lastRenderedPageBreak/>
        <w:t>Similar to legacy, RAN1 has agreed that also for LTM cell switch, beam</w:t>
      </w:r>
      <w:r w:rsidRPr="001B6110">
        <w:rPr>
          <w:rStyle w:val="cf01"/>
          <w:rFonts w:ascii="Times New Roman" w:hAnsi="Times New Roman" w:cs="Times New Roman"/>
          <w:sz w:val="20"/>
          <w:szCs w:val="20"/>
        </w:rPr>
        <w:t xml:space="preserve"> application time is supported, and starts after the last symbol of the PUCCH or PUSCH carrying the HARQ-ACK for the PDSCH which carries MAC-CE containing cell switch command with the beam indication for the target cell(s). </w:t>
      </w:r>
      <w:r>
        <w:rPr>
          <w:lang w:val="en-GB" w:eastAsia="en-GB"/>
        </w:rPr>
        <w:t xml:space="preserve">In the </w:t>
      </w:r>
      <w:r w:rsidR="003C15DB">
        <w:rPr>
          <w:lang w:val="en-GB" w:eastAsia="en-GB"/>
        </w:rPr>
        <w:t xml:space="preserve">RAN1 </w:t>
      </w:r>
      <w:r>
        <w:rPr>
          <w:lang w:val="en-GB" w:eastAsia="en-GB"/>
        </w:rPr>
        <w:t>LS</w:t>
      </w:r>
      <w:r w:rsidR="003C15DB">
        <w:rPr>
          <w:lang w:val="en-GB" w:eastAsia="en-GB"/>
        </w:rPr>
        <w:t xml:space="preserve"> to RAN4</w:t>
      </w:r>
      <w:r>
        <w:rPr>
          <w:lang w:val="en-GB" w:eastAsia="en-GB"/>
        </w:rPr>
        <w:t xml:space="preserve">, what RAN1 </w:t>
      </w:r>
      <w:r w:rsidR="003C15DB">
        <w:rPr>
          <w:lang w:val="en-GB" w:eastAsia="en-GB"/>
        </w:rPr>
        <w:t>is asking</w:t>
      </w:r>
      <w:r>
        <w:rPr>
          <w:lang w:val="en-GB" w:eastAsia="en-GB"/>
        </w:rPr>
        <w:t xml:space="preserve"> is whether the components of the beam application time as described in the LS are taken into account in the cell switch delay by RAN4. </w:t>
      </w:r>
    </w:p>
    <w:p w14:paraId="21D66590" w14:textId="7DB3BEBB" w:rsidR="00774DBE" w:rsidRDefault="00774DBE" w:rsidP="00774DBE">
      <w:pPr>
        <w:rPr>
          <w:lang w:val="en-GB" w:eastAsia="en-GB"/>
        </w:rPr>
      </w:pPr>
      <w:r>
        <w:rPr>
          <w:lang w:val="en-GB" w:eastAsia="en-GB"/>
        </w:rPr>
        <w:t>Based on the current RAN4 agreements, there is no final consensus</w:t>
      </w:r>
      <w:r w:rsidR="0088488E">
        <w:rPr>
          <w:lang w:val="en-GB" w:eastAsia="en-GB"/>
        </w:rPr>
        <w:t xml:space="preserve"> or agreements</w:t>
      </w:r>
      <w:r>
        <w:rPr>
          <w:lang w:val="en-GB" w:eastAsia="en-GB"/>
        </w:rPr>
        <w:t xml:space="preserve"> on any of the components RAN1 has listed. However, in our view RAN4 has already started the discussion on each of the components individually. Moreover, the listed aspects are discussed in:</w:t>
      </w:r>
    </w:p>
    <w:p w14:paraId="3903103E" w14:textId="046443D9" w:rsidR="00774DBE" w:rsidRPr="00401953" w:rsidRDefault="00774DBE" w:rsidP="00895105">
      <w:pPr>
        <w:pStyle w:val="ListParagraph"/>
        <w:numPr>
          <w:ilvl w:val="2"/>
          <w:numId w:val="5"/>
        </w:numPr>
        <w:snapToGrid w:val="0"/>
        <w:contextualSpacing w:val="0"/>
        <w:rPr>
          <w:rFonts w:cs="Times New Roman"/>
          <w:i/>
          <w:iCs/>
          <w:szCs w:val="20"/>
        </w:rPr>
      </w:pPr>
      <w:r w:rsidRPr="00EB5C71">
        <w:rPr>
          <w:rFonts w:cs="Times New Roman"/>
          <w:b/>
          <w:i/>
          <w:iCs/>
          <w:szCs w:val="20"/>
        </w:rPr>
        <w:t>Whether TCI state activation is received before/together with cell switch command:</w:t>
      </w:r>
      <w:r>
        <w:rPr>
          <w:rFonts w:cs="Times New Roman"/>
          <w:i/>
          <w:iCs/>
          <w:szCs w:val="20"/>
        </w:rPr>
        <w:t xml:space="preserve"> </w:t>
      </w:r>
      <w:r w:rsidRPr="00243FF5">
        <w:rPr>
          <w:rFonts w:cs="Times New Roman"/>
          <w:szCs w:val="20"/>
        </w:rPr>
        <w:t xml:space="preserve">Discussed at least as part of </w:t>
      </w:r>
      <w:r>
        <w:rPr>
          <w:rFonts w:cs="Times New Roman"/>
          <w:szCs w:val="20"/>
        </w:rPr>
        <w:t xml:space="preserve">the definition of </w:t>
      </w:r>
      <w:r w:rsidRPr="00243FF5">
        <w:t>T</w:t>
      </w:r>
      <w:r w:rsidRPr="00243FF5">
        <w:rPr>
          <w:vertAlign w:val="subscript"/>
        </w:rPr>
        <w:t>∆</w:t>
      </w:r>
      <w:r w:rsidRPr="00243FF5">
        <w:t xml:space="preserve"> and T</w:t>
      </w:r>
      <w:r w:rsidRPr="00243FF5">
        <w:rPr>
          <w:vertAlign w:val="subscript"/>
        </w:rPr>
        <w:t>margin</w:t>
      </w:r>
    </w:p>
    <w:p w14:paraId="4592E693" w14:textId="77777777" w:rsidR="00774DBE" w:rsidRPr="00401953" w:rsidRDefault="00774DBE" w:rsidP="00895105">
      <w:pPr>
        <w:pStyle w:val="ListParagraph"/>
        <w:numPr>
          <w:ilvl w:val="2"/>
          <w:numId w:val="5"/>
        </w:numPr>
        <w:snapToGrid w:val="0"/>
        <w:contextualSpacing w:val="0"/>
        <w:rPr>
          <w:rFonts w:cs="Times New Roman"/>
          <w:i/>
          <w:iCs/>
          <w:szCs w:val="20"/>
        </w:rPr>
      </w:pPr>
      <w:r w:rsidRPr="00EB5C71">
        <w:rPr>
          <w:rFonts w:cs="Times New Roman"/>
          <w:b/>
          <w:i/>
          <w:iCs/>
          <w:szCs w:val="20"/>
        </w:rPr>
        <w:t xml:space="preserve">Legacy values, i.e. </w:t>
      </w:r>
      <w:r w:rsidRPr="00EB5C71">
        <w:rPr>
          <w:rFonts w:cs="Times New Roman"/>
          <w:b/>
          <w:i/>
          <w:iCs/>
          <w:szCs w:val="20"/>
        </w:rPr>
        <w:fldChar w:fldCharType="begin"/>
      </w:r>
      <w:r w:rsidRPr="00EB5C71">
        <w:rPr>
          <w:rFonts w:cs="Times New Roman"/>
          <w:b/>
          <w:i/>
          <w:iCs/>
          <w:szCs w:val="20"/>
        </w:rPr>
        <w:instrText xml:space="preserve"> QUOTE </w:instrText>
      </w:r>
      <w:r w:rsidR="00C37F8E">
        <w:rPr>
          <w:rFonts w:cs="Times New Roman"/>
          <w:b/>
          <w:i/>
          <w:iCs/>
          <w:position w:val="-6"/>
          <w:szCs w:val="20"/>
        </w:rPr>
        <w:pict w14:anchorId="03F0DEED">
          <v:shape id="_x0000_i1027" type="#_x0000_t75" style="width:53.85pt;height:14.4pt" equationxml="&lt;">
            <v:imagedata r:id="rId13" o:title="" chromakey="white"/>
          </v:shape>
        </w:pict>
      </w:r>
      <w:r w:rsidRPr="00EB5C71">
        <w:rPr>
          <w:rFonts w:cs="Times New Roman"/>
          <w:b/>
          <w:i/>
          <w:iCs/>
          <w:szCs w:val="20"/>
        </w:rPr>
        <w:instrText xml:space="preserve"> </w:instrText>
      </w:r>
      <w:r w:rsidRPr="00EB5C71">
        <w:rPr>
          <w:rFonts w:cs="Times New Roman"/>
          <w:b/>
          <w:i/>
          <w:iCs/>
          <w:szCs w:val="20"/>
        </w:rPr>
        <w:fldChar w:fldCharType="separate"/>
      </w:r>
      <w:r w:rsidR="00C37F8E">
        <w:rPr>
          <w:rFonts w:cs="Times New Roman"/>
          <w:b/>
          <w:i/>
          <w:iCs/>
          <w:position w:val="-6"/>
          <w:szCs w:val="20"/>
        </w:rPr>
        <w:pict w14:anchorId="4AA4E84A">
          <v:shape id="_x0000_i1028" type="#_x0000_t75" style="width:53.85pt;height:14.4pt" equationxml="&lt;">
            <v:imagedata r:id="rId13" o:title="" chromakey="white"/>
          </v:shape>
        </w:pict>
      </w:r>
      <w:r w:rsidRPr="00EB5C71">
        <w:rPr>
          <w:rFonts w:cs="Times New Roman"/>
          <w:b/>
          <w:i/>
          <w:iCs/>
          <w:szCs w:val="20"/>
        </w:rPr>
        <w:fldChar w:fldCharType="end"/>
      </w:r>
      <w:r w:rsidRPr="00EB5C71">
        <w:rPr>
          <w:rFonts w:cs="Times New Roman"/>
          <w:b/>
          <w:i/>
          <w:iCs/>
          <w:szCs w:val="20"/>
        </w:rPr>
        <w:t xml:space="preserve"> and BeamAppTime-r17</w:t>
      </w:r>
      <w:r w:rsidRPr="00EB5C71">
        <w:rPr>
          <w:rFonts w:cs="Times New Roman"/>
          <w:b/>
          <w:szCs w:val="20"/>
        </w:rPr>
        <w:t>:</w:t>
      </w:r>
      <w:r>
        <w:rPr>
          <w:rFonts w:cs="Times New Roman"/>
          <w:szCs w:val="20"/>
        </w:rPr>
        <w:t xml:space="preserve"> MAC-CE processing is discussed as part of T</w:t>
      </w:r>
      <w:r w:rsidRPr="008347BE">
        <w:rPr>
          <w:rFonts w:cs="Times New Roman"/>
          <w:szCs w:val="20"/>
          <w:vertAlign w:val="subscript"/>
        </w:rPr>
        <w:t>cmd</w:t>
      </w:r>
      <w:r>
        <w:rPr>
          <w:rFonts w:cs="Times New Roman"/>
          <w:szCs w:val="20"/>
        </w:rPr>
        <w:t>.</w:t>
      </w:r>
    </w:p>
    <w:p w14:paraId="2FA47D41" w14:textId="77777777" w:rsidR="00774DBE" w:rsidRPr="00401953" w:rsidRDefault="00774DBE" w:rsidP="00895105">
      <w:pPr>
        <w:pStyle w:val="ListParagraph"/>
        <w:numPr>
          <w:ilvl w:val="2"/>
          <w:numId w:val="5"/>
        </w:numPr>
        <w:snapToGrid w:val="0"/>
        <w:contextualSpacing w:val="0"/>
        <w:rPr>
          <w:rFonts w:cs="Times New Roman"/>
          <w:i/>
          <w:iCs/>
          <w:szCs w:val="20"/>
        </w:rPr>
      </w:pPr>
      <w:r w:rsidRPr="00EB5C71">
        <w:rPr>
          <w:rFonts w:cs="Times New Roman"/>
          <w:b/>
          <w:i/>
          <w:iCs/>
          <w:szCs w:val="20"/>
        </w:rPr>
        <w:t>RF retuning time when inter-frequency switch is performed, which is up to RAN4</w:t>
      </w:r>
      <w:r>
        <w:rPr>
          <w:rFonts w:cs="Times New Roman"/>
          <w:bCs/>
          <w:szCs w:val="20"/>
        </w:rPr>
        <w:t>: Discussed as part of T</w:t>
      </w:r>
      <w:r w:rsidRPr="00816F40">
        <w:rPr>
          <w:rFonts w:cs="Times New Roman"/>
          <w:bCs/>
          <w:szCs w:val="20"/>
          <w:vertAlign w:val="subscript"/>
        </w:rPr>
        <w:t>LTM_processing</w:t>
      </w:r>
    </w:p>
    <w:p w14:paraId="5465F703" w14:textId="77777777" w:rsidR="00774DBE" w:rsidRPr="00401953" w:rsidRDefault="00774DBE" w:rsidP="00895105">
      <w:pPr>
        <w:pStyle w:val="ListParagraph"/>
        <w:numPr>
          <w:ilvl w:val="2"/>
          <w:numId w:val="5"/>
        </w:numPr>
        <w:snapToGrid w:val="0"/>
        <w:contextualSpacing w:val="0"/>
        <w:rPr>
          <w:rFonts w:cs="Times New Roman"/>
          <w:i/>
          <w:iCs/>
          <w:szCs w:val="20"/>
        </w:rPr>
      </w:pPr>
      <w:r w:rsidRPr="00EB5C71">
        <w:rPr>
          <w:rFonts w:cs="Times New Roman"/>
          <w:b/>
          <w:i/>
          <w:iCs/>
          <w:szCs w:val="20"/>
        </w:rPr>
        <w:t>Whether the target cell is one of the current serving cells</w:t>
      </w:r>
      <w:r w:rsidRPr="00EB5C71">
        <w:rPr>
          <w:rFonts w:cs="Times New Roman"/>
          <w:b/>
          <w:szCs w:val="20"/>
        </w:rPr>
        <w:t>:</w:t>
      </w:r>
      <w:r>
        <w:rPr>
          <w:rFonts w:cs="Times New Roman"/>
          <w:bCs/>
          <w:szCs w:val="20"/>
        </w:rPr>
        <w:t xml:space="preserve"> Discussed at least as part of T</w:t>
      </w:r>
      <w:r w:rsidRPr="00816F40">
        <w:rPr>
          <w:rFonts w:cs="Times New Roman"/>
          <w:bCs/>
          <w:szCs w:val="20"/>
          <w:vertAlign w:val="subscript"/>
        </w:rPr>
        <w:t>LTM_processing</w:t>
      </w:r>
      <w:r>
        <w:rPr>
          <w:rFonts w:cs="Times New Roman"/>
          <w:bCs/>
          <w:szCs w:val="20"/>
        </w:rPr>
        <w:t xml:space="preserve">, </w:t>
      </w:r>
      <w:r w:rsidRPr="00243FF5">
        <w:t>T</w:t>
      </w:r>
      <w:r w:rsidRPr="00243FF5">
        <w:rPr>
          <w:vertAlign w:val="subscript"/>
        </w:rPr>
        <w:t>∆</w:t>
      </w:r>
      <w:r w:rsidRPr="00243FF5">
        <w:t xml:space="preserve"> and T</w:t>
      </w:r>
      <w:r w:rsidRPr="00243FF5">
        <w:rPr>
          <w:vertAlign w:val="subscript"/>
        </w:rPr>
        <w:t>margin</w:t>
      </w:r>
    </w:p>
    <w:p w14:paraId="0733CA20" w14:textId="77777777" w:rsidR="00AA5FD1" w:rsidRDefault="002561E9" w:rsidP="00774DBE">
      <w:pPr>
        <w:rPr>
          <w:lang w:val="en-GB" w:eastAsia="en-GB"/>
        </w:rPr>
      </w:pPr>
      <w:r>
        <w:rPr>
          <w:lang w:val="en-GB" w:eastAsia="en-GB"/>
        </w:rPr>
        <w:t xml:space="preserve">In our view, whether and how beam application time is defined for LTM cell switch is up to RAN1 to decide. However, RAN1 cannot do this without knowing the LTM cell switch delay, which is defined by RAN4. </w:t>
      </w:r>
      <w:r w:rsidR="00AB1359">
        <w:rPr>
          <w:lang w:val="en-GB" w:eastAsia="en-GB"/>
        </w:rPr>
        <w:t xml:space="preserve">What RAN1 is asking and what RAN4 should respond is therefore the RAN4 agreements regarding the cell switch delay </w:t>
      </w:r>
      <w:r w:rsidR="00086969">
        <w:rPr>
          <w:lang w:val="en-GB" w:eastAsia="en-GB"/>
        </w:rPr>
        <w:t xml:space="preserve">and how the components listed in the LS are taken into account in the delay. </w:t>
      </w:r>
    </w:p>
    <w:p w14:paraId="24FD2745" w14:textId="3672140E" w:rsidR="00491AD5" w:rsidRDefault="00086969" w:rsidP="00774DBE">
      <w:pPr>
        <w:rPr>
          <w:lang w:val="en-GB" w:eastAsia="en-GB"/>
        </w:rPr>
      </w:pPr>
      <w:r>
        <w:rPr>
          <w:lang w:val="en-GB" w:eastAsia="en-GB"/>
        </w:rPr>
        <w:t xml:space="preserve">Considering that the cell switch delay requirements are still under discussion in RAN4, </w:t>
      </w:r>
      <w:r w:rsidR="007E2E2F">
        <w:rPr>
          <w:lang w:val="en-GB" w:eastAsia="en-GB"/>
        </w:rPr>
        <w:t xml:space="preserve">depending on the status of the </w:t>
      </w:r>
      <w:r w:rsidR="00895105">
        <w:rPr>
          <w:lang w:val="en-GB" w:eastAsia="en-GB"/>
        </w:rPr>
        <w:t xml:space="preserve">discussion by the end of the RAN4#108bis meeting, </w:t>
      </w:r>
      <w:r>
        <w:rPr>
          <w:lang w:val="en-GB" w:eastAsia="en-GB"/>
        </w:rPr>
        <w:t xml:space="preserve">we would propose to send any </w:t>
      </w:r>
      <w:r w:rsidR="0052015B">
        <w:rPr>
          <w:lang w:val="en-GB" w:eastAsia="en-GB"/>
        </w:rPr>
        <w:t xml:space="preserve">agreements made before or during RAN4#108bis meeting </w:t>
      </w:r>
      <w:r>
        <w:rPr>
          <w:lang w:val="en-GB" w:eastAsia="en-GB"/>
        </w:rPr>
        <w:t>in an LS to RAN1</w:t>
      </w:r>
      <w:r w:rsidR="006237F2">
        <w:rPr>
          <w:lang w:val="en-GB" w:eastAsia="en-GB"/>
        </w:rPr>
        <w:t>, so that RAN1 can conclude the work regarding beam application time (i.e. whether or how to define it).</w:t>
      </w:r>
    </w:p>
    <w:p w14:paraId="6048DBB8" w14:textId="3F35DC46" w:rsidR="00332422" w:rsidRPr="00332422" w:rsidRDefault="006237F2" w:rsidP="006E033B">
      <w:pPr>
        <w:pStyle w:val="RAN4proposal"/>
        <w:ind w:left="0" w:firstLine="0"/>
      </w:pPr>
      <w:bookmarkStart w:id="9" w:name="_Toc146741237"/>
      <w:r w:rsidRPr="009770AC">
        <w:rPr>
          <w:lang w:val="en-GB" w:eastAsia="en-GB"/>
        </w:rPr>
        <w:t>RAN4 to send the agreements related to LTM cell switch delay as an LS response to RAN1 LS about beam application time.</w:t>
      </w:r>
      <w:bookmarkEnd w:id="9"/>
    </w:p>
    <w:p w14:paraId="15A2EAE7" w14:textId="570D9C1D" w:rsidR="008764B5" w:rsidRDefault="008764B5" w:rsidP="00332422">
      <w:pPr>
        <w:pStyle w:val="RAN4H1"/>
        <w:jc w:val="left"/>
      </w:pPr>
      <w:r>
        <w:t xml:space="preserve">Measurements and reporting during active data </w:t>
      </w:r>
      <w:r w:rsidR="0042421A">
        <w:t>transmission.</w:t>
      </w:r>
    </w:p>
    <w:p w14:paraId="261A6E12" w14:textId="77777777" w:rsidR="008764B5" w:rsidRDefault="008764B5" w:rsidP="008764B5">
      <w:r>
        <w:t>LTM measurements are only needed when LTM mobility is needed. And LTM mobility is not always needed but would mostly be needed to facilitate the goals of LTM. Hence, LTM measurements may not always be needed by the network, and this may lead to that the UE performs unnecessary LTM assistance measurements.</w:t>
      </w:r>
    </w:p>
    <w:p w14:paraId="5EFD6D52" w14:textId="77777777" w:rsidR="008764B5" w:rsidRDefault="008764B5" w:rsidP="008764B5">
      <w:r>
        <w:t xml:space="preserve">There may be multiple negative impacts from performing LTM L1 measurements: </w:t>
      </w:r>
    </w:p>
    <w:p w14:paraId="3B57D940" w14:textId="77777777" w:rsidR="008764B5" w:rsidRDefault="008764B5" w:rsidP="00895105">
      <w:pPr>
        <w:pStyle w:val="ListParagraph"/>
        <w:numPr>
          <w:ilvl w:val="0"/>
          <w:numId w:val="6"/>
        </w:numPr>
        <w:shd w:val="clear" w:color="auto" w:fill="FFFFFF"/>
        <w:spacing w:after="120" w:line="240" w:lineRule="auto"/>
        <w:jc w:val="left"/>
      </w:pPr>
      <w:r>
        <w:t>Depending on the UE capability, LTM measurements may cause interruptions on the serving cell depending on the UE capability of performing L1/L3 measurements on one or more neighboring cells.</w:t>
      </w:r>
    </w:p>
    <w:p w14:paraId="34364CC2" w14:textId="77777777" w:rsidR="008764B5" w:rsidRDefault="008764B5" w:rsidP="00895105">
      <w:pPr>
        <w:pStyle w:val="ListParagraph"/>
        <w:numPr>
          <w:ilvl w:val="0"/>
          <w:numId w:val="6"/>
        </w:numPr>
        <w:shd w:val="clear" w:color="auto" w:fill="FFFFFF"/>
        <w:spacing w:after="120" w:line="240" w:lineRule="auto"/>
        <w:jc w:val="left"/>
      </w:pPr>
      <w:r>
        <w:t>UE measurement burden impacts the UE power consumption. Hence, additional measurements for LTM will likely increase UE power consumption</w:t>
      </w:r>
    </w:p>
    <w:p w14:paraId="222B8685" w14:textId="68B25742" w:rsidR="008764B5" w:rsidRDefault="008764B5" w:rsidP="007F19F6">
      <w:pPr>
        <w:shd w:val="clear" w:color="auto" w:fill="FFFFFF"/>
        <w:spacing w:after="120" w:line="240" w:lineRule="auto"/>
        <w:jc w:val="left"/>
      </w:pPr>
      <w:r>
        <w:t>UE should only perform and/or report relevant LTM assistance measurements when here is need for a LTM mobility</w:t>
      </w:r>
      <w:r w:rsidR="007F19F6">
        <w:t xml:space="preserve"> </w:t>
      </w:r>
      <w:r>
        <w:t>and can report these to network in a timely manner. Naturally, when there is no need for a LTM mobility, the UE is not required to perform and/or report LTM assistance measurements.</w:t>
      </w:r>
    </w:p>
    <w:p w14:paraId="7AD46033" w14:textId="77777777" w:rsidR="008764B5" w:rsidRDefault="008764B5" w:rsidP="008764B5">
      <w:r>
        <w:t xml:space="preserve">The UE should only perform LTM measurements when the </w:t>
      </w:r>
      <w:r w:rsidRPr="00544E25">
        <w:t>UE is in active data transmission,</w:t>
      </w:r>
      <w:r>
        <w:t xml:space="preserve"> for example when the UE is in Active time or when the Inactivity timer is running in the UE. When the Inactivity timer is not running in the UE (or UE is not in active time) the UE is not required to perform LTM measurements and/or reporting.</w:t>
      </w:r>
    </w:p>
    <w:p w14:paraId="407B7419" w14:textId="644A69EE" w:rsidR="008764B5" w:rsidRDefault="008764B5" w:rsidP="008764B5">
      <w:pPr>
        <w:pStyle w:val="RAN4proposal"/>
      </w:pPr>
      <w:bookmarkStart w:id="10" w:name="_Toc146741238"/>
      <w:r>
        <w:t xml:space="preserve">UE is not required to perform </w:t>
      </w:r>
      <w:r w:rsidR="00365153">
        <w:t>LTM</w:t>
      </w:r>
      <w:r>
        <w:t xml:space="preserve"> measurements when UE is not in active data transmission</w:t>
      </w:r>
      <w:r w:rsidR="004D4414">
        <w:t>.</w:t>
      </w:r>
      <w:bookmarkEnd w:id="10"/>
    </w:p>
    <w:p w14:paraId="39DD3EE9" w14:textId="1E3E9FD5" w:rsidR="00CD7492" w:rsidRPr="00465E07" w:rsidRDefault="00CD7492" w:rsidP="004D4414">
      <w:pPr>
        <w:pStyle w:val="RAN4H1"/>
      </w:pPr>
      <w:bookmarkStart w:id="11" w:name="_Toc116995848"/>
      <w:r w:rsidRPr="00465E07">
        <w:lastRenderedPageBreak/>
        <w:t>Conclusion</w:t>
      </w:r>
      <w:bookmarkEnd w:id="11"/>
    </w:p>
    <w:p w14:paraId="77C330DB" w14:textId="63A4D980" w:rsidR="008B0961" w:rsidRPr="00465E07" w:rsidRDefault="0004773E" w:rsidP="005C23A4">
      <w:r>
        <w:t>In this contribution we have made the following proposals and observations:</w:t>
      </w:r>
    </w:p>
    <w:p w14:paraId="5797B858" w14:textId="5C6C6DFD" w:rsidR="00B14DB2" w:rsidRDefault="00A4355E">
      <w:pPr>
        <w:pStyle w:val="TOC5"/>
        <w:rPr>
          <w:rFonts w:asciiTheme="minorHAnsi" w:eastAsiaTheme="minorEastAsia" w:hAnsiTheme="minorHAnsi"/>
          <w:b w:val="0"/>
          <w:noProof/>
          <w:kern w:val="2"/>
          <w:sz w:val="22"/>
          <w14:ligatures w14:val="standardContextual"/>
        </w:rPr>
      </w:pPr>
      <w:r w:rsidRPr="00F51067">
        <w:rPr>
          <w:i/>
          <w:iCs/>
          <w:color w:val="FF0000"/>
        </w:rPr>
        <w:fldChar w:fldCharType="begin"/>
      </w:r>
      <w:r w:rsidRPr="00F51067">
        <w:rPr>
          <w:i/>
          <w:iCs/>
          <w:color w:val="FF0000"/>
        </w:rPr>
        <w:instrText xml:space="preserve"> TOC \n \h \z \t "RAN4 proposal,5,RAN4 observation,4" </w:instrText>
      </w:r>
      <w:r w:rsidRPr="00F51067">
        <w:rPr>
          <w:i/>
          <w:iCs/>
          <w:color w:val="FF0000"/>
        </w:rPr>
        <w:fldChar w:fldCharType="separate"/>
      </w:r>
      <w:hyperlink w:anchor="_Toc146741230" w:history="1">
        <w:r w:rsidR="00B14DB2" w:rsidRPr="003557BE">
          <w:rPr>
            <w:rStyle w:val="Hyperlink"/>
            <w:noProof/>
          </w:rPr>
          <w:t>Proposal 1: RAN4 to define TCI state activation delay requirement for early TCI state activation for LTM candidate cell before the cell switch. Legacy TCI state switching delay for unified TCI state can be reused.</w:t>
        </w:r>
      </w:hyperlink>
    </w:p>
    <w:p w14:paraId="7287E15B" w14:textId="75ED8601" w:rsidR="00B14DB2" w:rsidRDefault="00B14DB2">
      <w:pPr>
        <w:pStyle w:val="TOC5"/>
        <w:rPr>
          <w:rFonts w:asciiTheme="minorHAnsi" w:eastAsiaTheme="minorEastAsia" w:hAnsiTheme="minorHAnsi"/>
          <w:b w:val="0"/>
          <w:noProof/>
          <w:kern w:val="2"/>
          <w:sz w:val="22"/>
          <w14:ligatures w14:val="standardContextual"/>
        </w:rPr>
      </w:pPr>
      <w:hyperlink w:anchor="_Toc146741231" w:history="1">
        <w:r w:rsidRPr="003557BE">
          <w:rPr>
            <w:rStyle w:val="Hyperlink"/>
            <w:noProof/>
          </w:rPr>
          <w:t>Proposal 2: Take both known and unknown UL/DL TCI states into account in the early TCI state activation delay requirement.</w:t>
        </w:r>
      </w:hyperlink>
    </w:p>
    <w:p w14:paraId="61DD54A5" w14:textId="50C2C75E" w:rsidR="00B14DB2" w:rsidRDefault="00B14DB2">
      <w:pPr>
        <w:pStyle w:val="TOC5"/>
        <w:rPr>
          <w:rFonts w:asciiTheme="minorHAnsi" w:eastAsiaTheme="minorEastAsia" w:hAnsiTheme="minorHAnsi"/>
          <w:b w:val="0"/>
          <w:noProof/>
          <w:kern w:val="2"/>
          <w:sz w:val="22"/>
          <w14:ligatures w14:val="standardContextual"/>
        </w:rPr>
      </w:pPr>
      <w:hyperlink w:anchor="_Toc146741232" w:history="1">
        <w:r w:rsidRPr="003557BE">
          <w:rPr>
            <w:rStyle w:val="Hyperlink"/>
            <w:noProof/>
          </w:rPr>
          <w:t>Proposal 3: UE shall do T/F tracking and keep track of the timing of all TCI states on its active TCI state list for one or more LTM candidate cells.</w:t>
        </w:r>
      </w:hyperlink>
    </w:p>
    <w:p w14:paraId="03053010" w14:textId="260C0285" w:rsidR="00B14DB2" w:rsidRDefault="00B14DB2">
      <w:pPr>
        <w:pStyle w:val="TOC5"/>
        <w:rPr>
          <w:rFonts w:asciiTheme="minorHAnsi" w:eastAsiaTheme="minorEastAsia" w:hAnsiTheme="minorHAnsi"/>
          <w:b w:val="0"/>
          <w:noProof/>
          <w:kern w:val="2"/>
          <w:sz w:val="22"/>
          <w14:ligatures w14:val="standardContextual"/>
        </w:rPr>
      </w:pPr>
      <w:hyperlink w:anchor="_Toc146741233" w:history="1">
        <w:r w:rsidRPr="003557BE">
          <w:rPr>
            <w:rStyle w:val="Hyperlink"/>
            <w:noProof/>
          </w:rPr>
          <w:t>Proposal 4: RAN4 to discuss how many candidate cells/TCI states the UEs are capable to do the time tracking for, and a corresponding UE capability should be defined.</w:t>
        </w:r>
      </w:hyperlink>
    </w:p>
    <w:p w14:paraId="79117B6C" w14:textId="0A125E11" w:rsidR="00B14DB2" w:rsidRDefault="00B14DB2">
      <w:pPr>
        <w:pStyle w:val="TOC4"/>
        <w:tabs>
          <w:tab w:val="right" w:leader="dot" w:pos="9617"/>
        </w:tabs>
        <w:rPr>
          <w:rFonts w:asciiTheme="minorHAnsi" w:eastAsiaTheme="minorEastAsia" w:hAnsiTheme="minorHAnsi"/>
          <w:noProof/>
          <w:kern w:val="2"/>
          <w:sz w:val="22"/>
          <w14:ligatures w14:val="standardContextual"/>
        </w:rPr>
      </w:pPr>
      <w:hyperlink w:anchor="_Toc146741234" w:history="1">
        <w:r w:rsidRPr="003557BE">
          <w:rPr>
            <w:rStyle w:val="Hyperlink"/>
            <w:b/>
            <w:noProof/>
          </w:rPr>
          <w:t>Observation 1:</w:t>
        </w:r>
        <w:r w:rsidRPr="003557BE">
          <w:rPr>
            <w:rStyle w:val="Hyperlink"/>
            <w:noProof/>
          </w:rPr>
          <w:t xml:space="preserve"> TCI states for LTM candidate cells and current serving cells are coming from different TCI state pools. Therefore, active TCI state lists for serving cells and LTM candidate cells are different, and a TCI state may be active on the serving cell active TCI state list but not on the LTM candidate cell active TCI state list.</w:t>
        </w:r>
      </w:hyperlink>
    </w:p>
    <w:p w14:paraId="2EB8E57C" w14:textId="4D3A6512" w:rsidR="00B14DB2" w:rsidRDefault="00B14DB2">
      <w:pPr>
        <w:pStyle w:val="TOC5"/>
        <w:rPr>
          <w:rFonts w:asciiTheme="minorHAnsi" w:eastAsiaTheme="minorEastAsia" w:hAnsiTheme="minorHAnsi"/>
          <w:b w:val="0"/>
          <w:noProof/>
          <w:kern w:val="2"/>
          <w:sz w:val="22"/>
          <w14:ligatures w14:val="standardContextual"/>
        </w:rPr>
      </w:pPr>
      <w:hyperlink w:anchor="_Toc146741235" w:history="1">
        <w:r w:rsidRPr="003557BE">
          <w:rPr>
            <w:rStyle w:val="Hyperlink"/>
            <w:noProof/>
          </w:rPr>
          <w:t>Proposal 5: 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hyperlink>
    </w:p>
    <w:p w14:paraId="06488B36" w14:textId="5B82E66C" w:rsidR="00B14DB2" w:rsidRDefault="00B14DB2">
      <w:pPr>
        <w:pStyle w:val="TOC4"/>
        <w:tabs>
          <w:tab w:val="right" w:leader="dot" w:pos="9617"/>
        </w:tabs>
        <w:rPr>
          <w:rFonts w:asciiTheme="minorHAnsi" w:eastAsiaTheme="minorEastAsia" w:hAnsiTheme="minorHAnsi"/>
          <w:noProof/>
          <w:kern w:val="2"/>
          <w:sz w:val="22"/>
          <w14:ligatures w14:val="standardContextual"/>
        </w:rPr>
      </w:pPr>
      <w:hyperlink w:anchor="_Toc146741236" w:history="1">
        <w:r w:rsidRPr="003557BE">
          <w:rPr>
            <w:rStyle w:val="Hyperlink"/>
            <w:b/>
            <w:noProof/>
            <w:lang w:val="en-GB" w:eastAsia="en-GB"/>
          </w:rPr>
          <w:t>Observation 2:</w:t>
        </w:r>
        <w:r w:rsidRPr="003557BE">
          <w:rPr>
            <w:rStyle w:val="Hyperlink"/>
            <w:noProof/>
            <w:lang w:val="en-GB" w:eastAsia="en-GB"/>
          </w:rPr>
          <w:t xml:space="preserve"> For DCI-based TCI state indication in Rel-17, beam application time is defined as the time from when the network receives from the UE a HARQ-ACK response to the DCI until the slot where the indicated TCI state is considered applied.</w:t>
        </w:r>
      </w:hyperlink>
    </w:p>
    <w:p w14:paraId="28113CD5" w14:textId="5E60A4B9" w:rsidR="00B14DB2" w:rsidRDefault="00B14DB2">
      <w:pPr>
        <w:pStyle w:val="TOC5"/>
        <w:rPr>
          <w:rFonts w:asciiTheme="minorHAnsi" w:eastAsiaTheme="minorEastAsia" w:hAnsiTheme="minorHAnsi"/>
          <w:b w:val="0"/>
          <w:noProof/>
          <w:kern w:val="2"/>
          <w:sz w:val="22"/>
          <w14:ligatures w14:val="standardContextual"/>
        </w:rPr>
      </w:pPr>
      <w:hyperlink w:anchor="_Toc146741237" w:history="1">
        <w:r w:rsidRPr="003557BE">
          <w:rPr>
            <w:rStyle w:val="Hyperlink"/>
            <w:noProof/>
          </w:rPr>
          <w:t>Proposal 6:</w:t>
        </w:r>
        <w:r w:rsidRPr="003557BE">
          <w:rPr>
            <w:rStyle w:val="Hyperlink"/>
            <w:noProof/>
            <w:lang w:val="en-GB" w:eastAsia="en-GB"/>
          </w:rPr>
          <w:t xml:space="preserve"> RAN4 to send the agreements related to LTM cell switch delay as an LS response to RAN1 LS about beam application time.</w:t>
        </w:r>
      </w:hyperlink>
    </w:p>
    <w:p w14:paraId="38578348" w14:textId="519D9A79" w:rsidR="00B14DB2" w:rsidRDefault="00B14DB2">
      <w:pPr>
        <w:pStyle w:val="TOC5"/>
        <w:rPr>
          <w:rFonts w:asciiTheme="minorHAnsi" w:eastAsiaTheme="minorEastAsia" w:hAnsiTheme="minorHAnsi"/>
          <w:b w:val="0"/>
          <w:noProof/>
          <w:kern w:val="2"/>
          <w:sz w:val="22"/>
          <w14:ligatures w14:val="standardContextual"/>
        </w:rPr>
      </w:pPr>
      <w:hyperlink w:anchor="_Toc146741238" w:history="1">
        <w:r w:rsidRPr="003557BE">
          <w:rPr>
            <w:rStyle w:val="Hyperlink"/>
            <w:noProof/>
          </w:rPr>
          <w:t>Proposal 7: UE is not required to perform LTM measurements when UE is not in active data transmission.</w:t>
        </w:r>
      </w:hyperlink>
    </w:p>
    <w:p w14:paraId="1B5E7ACC" w14:textId="263BF9F0" w:rsidR="0029156C" w:rsidRDefault="00A4355E" w:rsidP="00B14DB2">
      <w:pPr>
        <w:pStyle w:val="TOC5"/>
      </w:pPr>
      <w:r w:rsidRPr="00F51067">
        <w:rPr>
          <w:color w:val="FF0000"/>
        </w:rPr>
        <w:fldChar w:fldCharType="end"/>
      </w:r>
      <w:bookmarkStart w:id="12" w:name="_Toc116995849"/>
    </w:p>
    <w:p w14:paraId="28CF2D60" w14:textId="5C038A25" w:rsidR="0029156C" w:rsidRDefault="0029156C" w:rsidP="0029156C">
      <w:pPr>
        <w:pStyle w:val="RAN4H1"/>
      </w:pPr>
      <w:r>
        <w:t>References</w:t>
      </w:r>
    </w:p>
    <w:p w14:paraId="0089E302" w14:textId="31A88565" w:rsidR="0029156C" w:rsidRPr="0029156C" w:rsidRDefault="008D5607" w:rsidP="0029156C">
      <w:r>
        <w:t xml:space="preserve">[1] </w:t>
      </w:r>
      <w:r w:rsidRPr="008D5607">
        <w:t>R4-2314453, WF on NR mobility enhancements (part 1), RAN4#108</w:t>
      </w:r>
    </w:p>
    <w:bookmarkEnd w:id="12"/>
    <w:p w14:paraId="79DE8300"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050A" w14:textId="77777777" w:rsidR="00011915" w:rsidRDefault="00011915" w:rsidP="00001C9B">
      <w:pPr>
        <w:spacing w:after="0" w:line="240" w:lineRule="auto"/>
      </w:pPr>
      <w:r>
        <w:separator/>
      </w:r>
    </w:p>
  </w:endnote>
  <w:endnote w:type="continuationSeparator" w:id="0">
    <w:p w14:paraId="2E104F7F" w14:textId="77777777" w:rsidR="00011915" w:rsidRDefault="00011915" w:rsidP="00001C9B">
      <w:pPr>
        <w:spacing w:after="0" w:line="240" w:lineRule="auto"/>
      </w:pPr>
      <w:r>
        <w:continuationSeparator/>
      </w:r>
    </w:p>
  </w:endnote>
  <w:endnote w:type="continuationNotice" w:id="1">
    <w:p w14:paraId="544BAF27" w14:textId="77777777" w:rsidR="00011915" w:rsidRDefault="00011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46A6" w14:textId="77777777" w:rsidR="00011915" w:rsidRDefault="00011915" w:rsidP="00001C9B">
      <w:pPr>
        <w:spacing w:after="0" w:line="240" w:lineRule="auto"/>
      </w:pPr>
      <w:r>
        <w:separator/>
      </w:r>
    </w:p>
  </w:footnote>
  <w:footnote w:type="continuationSeparator" w:id="0">
    <w:p w14:paraId="2972D175" w14:textId="77777777" w:rsidR="00011915" w:rsidRDefault="00011915" w:rsidP="00001C9B">
      <w:pPr>
        <w:spacing w:after="0" w:line="240" w:lineRule="auto"/>
      </w:pPr>
      <w:r>
        <w:continuationSeparator/>
      </w:r>
    </w:p>
  </w:footnote>
  <w:footnote w:type="continuationNotice" w:id="1">
    <w:p w14:paraId="342E8B25" w14:textId="77777777" w:rsidR="00011915" w:rsidRDefault="000119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5A39"/>
    <w:multiLevelType w:val="hybridMultilevel"/>
    <w:tmpl w:val="F4D053A4"/>
    <w:lvl w:ilvl="0" w:tplc="3620D0F2">
      <w:start w:val="1"/>
      <w:numFmt w:val="bullet"/>
      <w:lvlText w:val=""/>
      <w:lvlJc w:val="left"/>
      <w:pPr>
        <w:ind w:left="880" w:hanging="360"/>
      </w:pPr>
      <w:rPr>
        <w:rFonts w:ascii="Symbol" w:hAnsi="Symbol"/>
      </w:rPr>
    </w:lvl>
    <w:lvl w:ilvl="1" w:tplc="74208BC8">
      <w:start w:val="1"/>
      <w:numFmt w:val="bullet"/>
      <w:lvlText w:val=""/>
      <w:lvlJc w:val="left"/>
      <w:pPr>
        <w:ind w:left="880" w:hanging="360"/>
      </w:pPr>
      <w:rPr>
        <w:rFonts w:ascii="Symbol" w:hAnsi="Symbol"/>
      </w:rPr>
    </w:lvl>
    <w:lvl w:ilvl="2" w:tplc="EEDCF822">
      <w:start w:val="1"/>
      <w:numFmt w:val="bullet"/>
      <w:lvlText w:val=""/>
      <w:lvlJc w:val="left"/>
      <w:pPr>
        <w:ind w:left="880" w:hanging="360"/>
      </w:pPr>
      <w:rPr>
        <w:rFonts w:ascii="Symbol" w:hAnsi="Symbol"/>
      </w:rPr>
    </w:lvl>
    <w:lvl w:ilvl="3" w:tplc="ECD448D4">
      <w:start w:val="1"/>
      <w:numFmt w:val="bullet"/>
      <w:lvlText w:val=""/>
      <w:lvlJc w:val="left"/>
      <w:pPr>
        <w:ind w:left="880" w:hanging="360"/>
      </w:pPr>
      <w:rPr>
        <w:rFonts w:ascii="Symbol" w:hAnsi="Symbol"/>
      </w:rPr>
    </w:lvl>
    <w:lvl w:ilvl="4" w:tplc="5A085B62">
      <w:start w:val="1"/>
      <w:numFmt w:val="bullet"/>
      <w:lvlText w:val=""/>
      <w:lvlJc w:val="left"/>
      <w:pPr>
        <w:ind w:left="880" w:hanging="360"/>
      </w:pPr>
      <w:rPr>
        <w:rFonts w:ascii="Symbol" w:hAnsi="Symbol"/>
      </w:rPr>
    </w:lvl>
    <w:lvl w:ilvl="5" w:tplc="26142406">
      <w:start w:val="1"/>
      <w:numFmt w:val="bullet"/>
      <w:lvlText w:val=""/>
      <w:lvlJc w:val="left"/>
      <w:pPr>
        <w:ind w:left="880" w:hanging="360"/>
      </w:pPr>
      <w:rPr>
        <w:rFonts w:ascii="Symbol" w:hAnsi="Symbol"/>
      </w:rPr>
    </w:lvl>
    <w:lvl w:ilvl="6" w:tplc="708C4AF4">
      <w:start w:val="1"/>
      <w:numFmt w:val="bullet"/>
      <w:lvlText w:val=""/>
      <w:lvlJc w:val="left"/>
      <w:pPr>
        <w:ind w:left="880" w:hanging="360"/>
      </w:pPr>
      <w:rPr>
        <w:rFonts w:ascii="Symbol" w:hAnsi="Symbol"/>
      </w:rPr>
    </w:lvl>
    <w:lvl w:ilvl="7" w:tplc="041C0A9C">
      <w:start w:val="1"/>
      <w:numFmt w:val="bullet"/>
      <w:lvlText w:val=""/>
      <w:lvlJc w:val="left"/>
      <w:pPr>
        <w:ind w:left="880" w:hanging="360"/>
      </w:pPr>
      <w:rPr>
        <w:rFonts w:ascii="Symbol" w:hAnsi="Symbol"/>
      </w:rPr>
    </w:lvl>
    <w:lvl w:ilvl="8" w:tplc="768C4632">
      <w:start w:val="1"/>
      <w:numFmt w:val="bullet"/>
      <w:lvlText w:val=""/>
      <w:lvlJc w:val="left"/>
      <w:pPr>
        <w:ind w:left="880" w:hanging="360"/>
      </w:pPr>
      <w:rPr>
        <w:rFonts w:ascii="Symbol" w:hAnsi="Symbol"/>
      </w:rPr>
    </w:lvl>
  </w:abstractNum>
  <w:abstractNum w:abstractNumId="1" w15:restartNumberingAfterBreak="0">
    <w:nsid w:val="0D7D1A93"/>
    <w:multiLevelType w:val="hybridMultilevel"/>
    <w:tmpl w:val="808275A6"/>
    <w:lvl w:ilvl="0" w:tplc="CB0078D8">
      <w:start w:val="3"/>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D30C3F"/>
    <w:multiLevelType w:val="multilevel"/>
    <w:tmpl w:val="FA8EC34A"/>
    <w:lvl w:ilvl="0">
      <w:start w:val="1"/>
      <w:numFmt w:val="bullet"/>
      <w:lvlText w:val=""/>
      <w:lvlJc w:val="left"/>
      <w:pPr>
        <w:tabs>
          <w:tab w:val="num" w:pos="200"/>
        </w:tabs>
        <w:ind w:left="200" w:hanging="360"/>
      </w:pPr>
      <w:rPr>
        <w:rFonts w:ascii="Symbol" w:hAnsi="Symbol" w:hint="default"/>
        <w:sz w:val="20"/>
      </w:rPr>
    </w:lvl>
    <w:lvl w:ilvl="1" w:tentative="1">
      <w:start w:val="1"/>
      <w:numFmt w:val="bullet"/>
      <w:lvlText w:val="o"/>
      <w:lvlJc w:val="left"/>
      <w:pPr>
        <w:tabs>
          <w:tab w:val="num" w:pos="920"/>
        </w:tabs>
        <w:ind w:left="920" w:hanging="360"/>
      </w:pPr>
      <w:rPr>
        <w:rFonts w:ascii="Courier New" w:hAnsi="Courier New" w:hint="default"/>
        <w:sz w:val="20"/>
      </w:rPr>
    </w:lvl>
    <w:lvl w:ilvl="2" w:tentative="1">
      <w:start w:val="1"/>
      <w:numFmt w:val="bullet"/>
      <w:lvlText w:val=""/>
      <w:lvlJc w:val="left"/>
      <w:pPr>
        <w:tabs>
          <w:tab w:val="num" w:pos="1640"/>
        </w:tabs>
        <w:ind w:left="1640" w:hanging="360"/>
      </w:pPr>
      <w:rPr>
        <w:rFonts w:ascii="Wingdings" w:hAnsi="Wingdings" w:hint="default"/>
        <w:sz w:val="20"/>
      </w:rPr>
    </w:lvl>
    <w:lvl w:ilvl="3" w:tentative="1">
      <w:start w:val="1"/>
      <w:numFmt w:val="bullet"/>
      <w:lvlText w:val=""/>
      <w:lvlJc w:val="left"/>
      <w:pPr>
        <w:tabs>
          <w:tab w:val="num" w:pos="2360"/>
        </w:tabs>
        <w:ind w:left="2360" w:hanging="360"/>
      </w:pPr>
      <w:rPr>
        <w:rFonts w:ascii="Wingdings" w:hAnsi="Wingdings" w:hint="default"/>
        <w:sz w:val="20"/>
      </w:rPr>
    </w:lvl>
    <w:lvl w:ilvl="4" w:tentative="1">
      <w:start w:val="1"/>
      <w:numFmt w:val="bullet"/>
      <w:lvlText w:val=""/>
      <w:lvlJc w:val="left"/>
      <w:pPr>
        <w:tabs>
          <w:tab w:val="num" w:pos="3080"/>
        </w:tabs>
        <w:ind w:left="3080" w:hanging="360"/>
      </w:pPr>
      <w:rPr>
        <w:rFonts w:ascii="Wingdings" w:hAnsi="Wingdings" w:hint="default"/>
        <w:sz w:val="20"/>
      </w:rPr>
    </w:lvl>
    <w:lvl w:ilvl="5" w:tentative="1">
      <w:start w:val="1"/>
      <w:numFmt w:val="bullet"/>
      <w:lvlText w:val=""/>
      <w:lvlJc w:val="left"/>
      <w:pPr>
        <w:tabs>
          <w:tab w:val="num" w:pos="3800"/>
        </w:tabs>
        <w:ind w:left="3800" w:hanging="360"/>
      </w:pPr>
      <w:rPr>
        <w:rFonts w:ascii="Wingdings" w:hAnsi="Wingdings" w:hint="default"/>
        <w:sz w:val="20"/>
      </w:rPr>
    </w:lvl>
    <w:lvl w:ilvl="6" w:tentative="1">
      <w:start w:val="1"/>
      <w:numFmt w:val="bullet"/>
      <w:lvlText w:val=""/>
      <w:lvlJc w:val="left"/>
      <w:pPr>
        <w:tabs>
          <w:tab w:val="num" w:pos="4520"/>
        </w:tabs>
        <w:ind w:left="4520" w:hanging="360"/>
      </w:pPr>
      <w:rPr>
        <w:rFonts w:ascii="Wingdings" w:hAnsi="Wingdings" w:hint="default"/>
        <w:sz w:val="20"/>
      </w:rPr>
    </w:lvl>
    <w:lvl w:ilvl="7" w:tentative="1">
      <w:start w:val="1"/>
      <w:numFmt w:val="bullet"/>
      <w:lvlText w:val=""/>
      <w:lvlJc w:val="left"/>
      <w:pPr>
        <w:tabs>
          <w:tab w:val="num" w:pos="5240"/>
        </w:tabs>
        <w:ind w:left="5240" w:hanging="360"/>
      </w:pPr>
      <w:rPr>
        <w:rFonts w:ascii="Wingdings" w:hAnsi="Wingdings" w:hint="default"/>
        <w:sz w:val="20"/>
      </w:rPr>
    </w:lvl>
    <w:lvl w:ilvl="8" w:tentative="1">
      <w:start w:val="1"/>
      <w:numFmt w:val="bullet"/>
      <w:lvlText w:val=""/>
      <w:lvlJc w:val="left"/>
      <w:pPr>
        <w:tabs>
          <w:tab w:val="num" w:pos="5960"/>
        </w:tabs>
        <w:ind w:left="5960" w:hanging="360"/>
      </w:pPr>
      <w:rPr>
        <w:rFonts w:ascii="Wingdings" w:hAnsi="Wingdings" w:hint="default"/>
        <w:sz w:val="20"/>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DFAE76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92749823">
    <w:abstractNumId w:val="5"/>
  </w:num>
  <w:num w:numId="2" w16cid:durableId="80681869">
    <w:abstractNumId w:val="3"/>
  </w:num>
  <w:num w:numId="3" w16cid:durableId="1566528953">
    <w:abstractNumId w:val="4"/>
  </w:num>
  <w:num w:numId="4" w16cid:durableId="1456096507">
    <w:abstractNumId w:val="7"/>
  </w:num>
  <w:num w:numId="5" w16cid:durableId="1829207991">
    <w:abstractNumId w:val="9"/>
  </w:num>
  <w:num w:numId="6" w16cid:durableId="666861254">
    <w:abstractNumId w:val="1"/>
  </w:num>
  <w:num w:numId="7" w16cid:durableId="866984813">
    <w:abstractNumId w:val="6"/>
  </w:num>
  <w:num w:numId="8" w16cid:durableId="1679961612">
    <w:abstractNumId w:val="8"/>
  </w:num>
  <w:num w:numId="9" w16cid:durableId="618990797">
    <w:abstractNumId w:val="0"/>
  </w:num>
  <w:num w:numId="10" w16cid:durableId="148223026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45FAD"/>
    <w:rsid w:val="000015A4"/>
    <w:rsid w:val="00001C9B"/>
    <w:rsid w:val="000040DC"/>
    <w:rsid w:val="00004DD1"/>
    <w:rsid w:val="00006A7E"/>
    <w:rsid w:val="00006DD1"/>
    <w:rsid w:val="00007A26"/>
    <w:rsid w:val="00007CEE"/>
    <w:rsid w:val="00010CA1"/>
    <w:rsid w:val="0001138D"/>
    <w:rsid w:val="00011784"/>
    <w:rsid w:val="00011915"/>
    <w:rsid w:val="00012B5B"/>
    <w:rsid w:val="00013726"/>
    <w:rsid w:val="00013909"/>
    <w:rsid w:val="000151EF"/>
    <w:rsid w:val="00015A95"/>
    <w:rsid w:val="00015CFB"/>
    <w:rsid w:val="00020648"/>
    <w:rsid w:val="00021FBC"/>
    <w:rsid w:val="00022E28"/>
    <w:rsid w:val="000239F5"/>
    <w:rsid w:val="00025FF1"/>
    <w:rsid w:val="0002723D"/>
    <w:rsid w:val="0002761D"/>
    <w:rsid w:val="00033234"/>
    <w:rsid w:val="0003626E"/>
    <w:rsid w:val="000409F9"/>
    <w:rsid w:val="000410A5"/>
    <w:rsid w:val="00042823"/>
    <w:rsid w:val="00043BBB"/>
    <w:rsid w:val="00045470"/>
    <w:rsid w:val="00045FAD"/>
    <w:rsid w:val="000475FE"/>
    <w:rsid w:val="0004773E"/>
    <w:rsid w:val="0005242A"/>
    <w:rsid w:val="00053321"/>
    <w:rsid w:val="00053A73"/>
    <w:rsid w:val="000578A6"/>
    <w:rsid w:val="00057FC5"/>
    <w:rsid w:val="00060EA8"/>
    <w:rsid w:val="000611FB"/>
    <w:rsid w:val="00062D7D"/>
    <w:rsid w:val="00066752"/>
    <w:rsid w:val="00066800"/>
    <w:rsid w:val="00071DAC"/>
    <w:rsid w:val="000727E2"/>
    <w:rsid w:val="00073978"/>
    <w:rsid w:val="00074E91"/>
    <w:rsid w:val="00077DFA"/>
    <w:rsid w:val="00081D00"/>
    <w:rsid w:val="0008612A"/>
    <w:rsid w:val="00086196"/>
    <w:rsid w:val="00086969"/>
    <w:rsid w:val="00087910"/>
    <w:rsid w:val="00090ADD"/>
    <w:rsid w:val="00090E18"/>
    <w:rsid w:val="00091408"/>
    <w:rsid w:val="00091765"/>
    <w:rsid w:val="00092666"/>
    <w:rsid w:val="00094EF7"/>
    <w:rsid w:val="00096F2C"/>
    <w:rsid w:val="000A10BC"/>
    <w:rsid w:val="000A15CF"/>
    <w:rsid w:val="000A1D30"/>
    <w:rsid w:val="000A6635"/>
    <w:rsid w:val="000B0056"/>
    <w:rsid w:val="000B4A79"/>
    <w:rsid w:val="000C0EB2"/>
    <w:rsid w:val="000C29F1"/>
    <w:rsid w:val="000C3C7B"/>
    <w:rsid w:val="000D0F93"/>
    <w:rsid w:val="000D189D"/>
    <w:rsid w:val="000D25B1"/>
    <w:rsid w:val="000D29B8"/>
    <w:rsid w:val="000E033E"/>
    <w:rsid w:val="000E1339"/>
    <w:rsid w:val="000E3280"/>
    <w:rsid w:val="000E62BA"/>
    <w:rsid w:val="000F0AE5"/>
    <w:rsid w:val="000F126E"/>
    <w:rsid w:val="000F1A1A"/>
    <w:rsid w:val="000F1E67"/>
    <w:rsid w:val="000F229B"/>
    <w:rsid w:val="000F3D74"/>
    <w:rsid w:val="000F52E0"/>
    <w:rsid w:val="00102B44"/>
    <w:rsid w:val="001059C5"/>
    <w:rsid w:val="00105BA0"/>
    <w:rsid w:val="00106416"/>
    <w:rsid w:val="00110481"/>
    <w:rsid w:val="001127C9"/>
    <w:rsid w:val="00113992"/>
    <w:rsid w:val="00114761"/>
    <w:rsid w:val="00114D34"/>
    <w:rsid w:val="00115B88"/>
    <w:rsid w:val="00123A66"/>
    <w:rsid w:val="00123CC9"/>
    <w:rsid w:val="0012472D"/>
    <w:rsid w:val="00127213"/>
    <w:rsid w:val="001304FE"/>
    <w:rsid w:val="001307D5"/>
    <w:rsid w:val="00131F8C"/>
    <w:rsid w:val="00132F6A"/>
    <w:rsid w:val="00132FD9"/>
    <w:rsid w:val="00133913"/>
    <w:rsid w:val="00136035"/>
    <w:rsid w:val="00140221"/>
    <w:rsid w:val="00142063"/>
    <w:rsid w:val="0014272A"/>
    <w:rsid w:val="0014388C"/>
    <w:rsid w:val="001447DF"/>
    <w:rsid w:val="0014552D"/>
    <w:rsid w:val="001471F6"/>
    <w:rsid w:val="00151534"/>
    <w:rsid w:val="0015212C"/>
    <w:rsid w:val="0015257C"/>
    <w:rsid w:val="00153B64"/>
    <w:rsid w:val="00153E7A"/>
    <w:rsid w:val="00154481"/>
    <w:rsid w:val="00154C99"/>
    <w:rsid w:val="0015609A"/>
    <w:rsid w:val="00160F53"/>
    <w:rsid w:val="00160FC3"/>
    <w:rsid w:val="001642D0"/>
    <w:rsid w:val="001642FC"/>
    <w:rsid w:val="0016496B"/>
    <w:rsid w:val="001654D7"/>
    <w:rsid w:val="00170E93"/>
    <w:rsid w:val="00171A11"/>
    <w:rsid w:val="001743E2"/>
    <w:rsid w:val="001745F8"/>
    <w:rsid w:val="001747FD"/>
    <w:rsid w:val="00176260"/>
    <w:rsid w:val="001771E6"/>
    <w:rsid w:val="001774C1"/>
    <w:rsid w:val="00177B12"/>
    <w:rsid w:val="00180D9C"/>
    <w:rsid w:val="00180DA2"/>
    <w:rsid w:val="001838CF"/>
    <w:rsid w:val="001868EE"/>
    <w:rsid w:val="001913D7"/>
    <w:rsid w:val="00193813"/>
    <w:rsid w:val="001947C3"/>
    <w:rsid w:val="0019744C"/>
    <w:rsid w:val="001976E7"/>
    <w:rsid w:val="001A2A21"/>
    <w:rsid w:val="001A3BA4"/>
    <w:rsid w:val="001A53B4"/>
    <w:rsid w:val="001A547B"/>
    <w:rsid w:val="001A6D1F"/>
    <w:rsid w:val="001B031F"/>
    <w:rsid w:val="001B0A33"/>
    <w:rsid w:val="001B1201"/>
    <w:rsid w:val="001B4994"/>
    <w:rsid w:val="001B6110"/>
    <w:rsid w:val="001B63E4"/>
    <w:rsid w:val="001B75FE"/>
    <w:rsid w:val="001B7C78"/>
    <w:rsid w:val="001C4921"/>
    <w:rsid w:val="001D19F1"/>
    <w:rsid w:val="001D1D6D"/>
    <w:rsid w:val="001D3627"/>
    <w:rsid w:val="001D3BB1"/>
    <w:rsid w:val="001D40CC"/>
    <w:rsid w:val="001D68F2"/>
    <w:rsid w:val="001D6DAB"/>
    <w:rsid w:val="001E02D4"/>
    <w:rsid w:val="001E1916"/>
    <w:rsid w:val="001E2214"/>
    <w:rsid w:val="001E30F6"/>
    <w:rsid w:val="001E42D1"/>
    <w:rsid w:val="001E7484"/>
    <w:rsid w:val="001E789E"/>
    <w:rsid w:val="001F012B"/>
    <w:rsid w:val="001F1D3F"/>
    <w:rsid w:val="001F3CF0"/>
    <w:rsid w:val="001F3F1D"/>
    <w:rsid w:val="001F7327"/>
    <w:rsid w:val="002014FB"/>
    <w:rsid w:val="002031F7"/>
    <w:rsid w:val="00206010"/>
    <w:rsid w:val="00206B13"/>
    <w:rsid w:val="00207DC1"/>
    <w:rsid w:val="0021027C"/>
    <w:rsid w:val="0021033C"/>
    <w:rsid w:val="002109BD"/>
    <w:rsid w:val="00214B19"/>
    <w:rsid w:val="00214F50"/>
    <w:rsid w:val="002166DD"/>
    <w:rsid w:val="00216CB3"/>
    <w:rsid w:val="00217EE5"/>
    <w:rsid w:val="00217F24"/>
    <w:rsid w:val="00220023"/>
    <w:rsid w:val="002210A1"/>
    <w:rsid w:val="00222932"/>
    <w:rsid w:val="00222C9B"/>
    <w:rsid w:val="00226E87"/>
    <w:rsid w:val="00227604"/>
    <w:rsid w:val="002318CA"/>
    <w:rsid w:val="00232239"/>
    <w:rsid w:val="00233A98"/>
    <w:rsid w:val="00235F5C"/>
    <w:rsid w:val="00237E9D"/>
    <w:rsid w:val="0024100A"/>
    <w:rsid w:val="00254CF4"/>
    <w:rsid w:val="002557F2"/>
    <w:rsid w:val="002561E9"/>
    <w:rsid w:val="002562C1"/>
    <w:rsid w:val="00257A70"/>
    <w:rsid w:val="00257FA3"/>
    <w:rsid w:val="0026770A"/>
    <w:rsid w:val="00270752"/>
    <w:rsid w:val="002717E6"/>
    <w:rsid w:val="002722E8"/>
    <w:rsid w:val="00277404"/>
    <w:rsid w:val="00277B56"/>
    <w:rsid w:val="00277CAF"/>
    <w:rsid w:val="002817DB"/>
    <w:rsid w:val="00282071"/>
    <w:rsid w:val="00285AF8"/>
    <w:rsid w:val="00286166"/>
    <w:rsid w:val="00287F3E"/>
    <w:rsid w:val="0029015F"/>
    <w:rsid w:val="0029156C"/>
    <w:rsid w:val="002939E2"/>
    <w:rsid w:val="002947F4"/>
    <w:rsid w:val="002970A9"/>
    <w:rsid w:val="002A19F5"/>
    <w:rsid w:val="002A725F"/>
    <w:rsid w:val="002B1450"/>
    <w:rsid w:val="002B205F"/>
    <w:rsid w:val="002B382C"/>
    <w:rsid w:val="002B3B32"/>
    <w:rsid w:val="002B4922"/>
    <w:rsid w:val="002C217B"/>
    <w:rsid w:val="002C22C3"/>
    <w:rsid w:val="002C2D19"/>
    <w:rsid w:val="002C352E"/>
    <w:rsid w:val="002C6194"/>
    <w:rsid w:val="002C683E"/>
    <w:rsid w:val="002D0353"/>
    <w:rsid w:val="002D10FA"/>
    <w:rsid w:val="002D137C"/>
    <w:rsid w:val="002D1BA5"/>
    <w:rsid w:val="002D1F4D"/>
    <w:rsid w:val="002D4840"/>
    <w:rsid w:val="002D4C55"/>
    <w:rsid w:val="002D6176"/>
    <w:rsid w:val="002D61FC"/>
    <w:rsid w:val="002D7790"/>
    <w:rsid w:val="002D7E11"/>
    <w:rsid w:val="002D7EF6"/>
    <w:rsid w:val="002E0076"/>
    <w:rsid w:val="002E1156"/>
    <w:rsid w:val="002E22E5"/>
    <w:rsid w:val="002E42CA"/>
    <w:rsid w:val="002E4894"/>
    <w:rsid w:val="002E4E92"/>
    <w:rsid w:val="002E6DED"/>
    <w:rsid w:val="002F1EDB"/>
    <w:rsid w:val="002F40A8"/>
    <w:rsid w:val="002F6DC0"/>
    <w:rsid w:val="00300956"/>
    <w:rsid w:val="00303A78"/>
    <w:rsid w:val="003047F2"/>
    <w:rsid w:val="00304D88"/>
    <w:rsid w:val="00305D8E"/>
    <w:rsid w:val="003077C2"/>
    <w:rsid w:val="003103C5"/>
    <w:rsid w:val="00310E60"/>
    <w:rsid w:val="003110B6"/>
    <w:rsid w:val="00312F99"/>
    <w:rsid w:val="00313576"/>
    <w:rsid w:val="00314137"/>
    <w:rsid w:val="00317187"/>
    <w:rsid w:val="003173D4"/>
    <w:rsid w:val="00317815"/>
    <w:rsid w:val="003210DB"/>
    <w:rsid w:val="0032499A"/>
    <w:rsid w:val="003276E2"/>
    <w:rsid w:val="00327963"/>
    <w:rsid w:val="003311C9"/>
    <w:rsid w:val="0033187E"/>
    <w:rsid w:val="00332422"/>
    <w:rsid w:val="003341F7"/>
    <w:rsid w:val="0033485F"/>
    <w:rsid w:val="003351DA"/>
    <w:rsid w:val="0033706F"/>
    <w:rsid w:val="00343A1D"/>
    <w:rsid w:val="00346364"/>
    <w:rsid w:val="00347377"/>
    <w:rsid w:val="00347CD7"/>
    <w:rsid w:val="00347FEC"/>
    <w:rsid w:val="0035462B"/>
    <w:rsid w:val="00355118"/>
    <w:rsid w:val="00355FC8"/>
    <w:rsid w:val="00356F45"/>
    <w:rsid w:val="00360628"/>
    <w:rsid w:val="003620D7"/>
    <w:rsid w:val="003625A3"/>
    <w:rsid w:val="00363FB8"/>
    <w:rsid w:val="00364584"/>
    <w:rsid w:val="00365153"/>
    <w:rsid w:val="00365DAE"/>
    <w:rsid w:val="00366B74"/>
    <w:rsid w:val="00373330"/>
    <w:rsid w:val="003748A2"/>
    <w:rsid w:val="00374E7E"/>
    <w:rsid w:val="003760E9"/>
    <w:rsid w:val="00376C72"/>
    <w:rsid w:val="00376FF9"/>
    <w:rsid w:val="00377001"/>
    <w:rsid w:val="0038125D"/>
    <w:rsid w:val="003829EB"/>
    <w:rsid w:val="0039024A"/>
    <w:rsid w:val="003905C2"/>
    <w:rsid w:val="00394414"/>
    <w:rsid w:val="00394EA7"/>
    <w:rsid w:val="003966B1"/>
    <w:rsid w:val="003A318A"/>
    <w:rsid w:val="003A527B"/>
    <w:rsid w:val="003A5FA8"/>
    <w:rsid w:val="003A710A"/>
    <w:rsid w:val="003A7306"/>
    <w:rsid w:val="003B273B"/>
    <w:rsid w:val="003B27E5"/>
    <w:rsid w:val="003B6053"/>
    <w:rsid w:val="003B6118"/>
    <w:rsid w:val="003B659E"/>
    <w:rsid w:val="003B7CC2"/>
    <w:rsid w:val="003C09E0"/>
    <w:rsid w:val="003C15DB"/>
    <w:rsid w:val="003C1B06"/>
    <w:rsid w:val="003C275E"/>
    <w:rsid w:val="003C32FA"/>
    <w:rsid w:val="003C4FDE"/>
    <w:rsid w:val="003C659B"/>
    <w:rsid w:val="003C67E8"/>
    <w:rsid w:val="003C7986"/>
    <w:rsid w:val="003D1828"/>
    <w:rsid w:val="003D1937"/>
    <w:rsid w:val="003D1D59"/>
    <w:rsid w:val="003D26F4"/>
    <w:rsid w:val="003D3275"/>
    <w:rsid w:val="003D3E2F"/>
    <w:rsid w:val="003D3FDB"/>
    <w:rsid w:val="003D6F9C"/>
    <w:rsid w:val="003E0FEB"/>
    <w:rsid w:val="003E1B82"/>
    <w:rsid w:val="003E4111"/>
    <w:rsid w:val="003E58DF"/>
    <w:rsid w:val="003E73FF"/>
    <w:rsid w:val="003F0FE0"/>
    <w:rsid w:val="003F6B15"/>
    <w:rsid w:val="003F7E68"/>
    <w:rsid w:val="00404C4C"/>
    <w:rsid w:val="00407EBE"/>
    <w:rsid w:val="0041164F"/>
    <w:rsid w:val="0041423F"/>
    <w:rsid w:val="00414F81"/>
    <w:rsid w:val="004179E0"/>
    <w:rsid w:val="0042117A"/>
    <w:rsid w:val="00422338"/>
    <w:rsid w:val="004231C4"/>
    <w:rsid w:val="0042421A"/>
    <w:rsid w:val="004244EC"/>
    <w:rsid w:val="004301B3"/>
    <w:rsid w:val="004302F4"/>
    <w:rsid w:val="00436824"/>
    <w:rsid w:val="00436A0F"/>
    <w:rsid w:val="00437150"/>
    <w:rsid w:val="0043750A"/>
    <w:rsid w:val="0044191A"/>
    <w:rsid w:val="00446892"/>
    <w:rsid w:val="004477E5"/>
    <w:rsid w:val="004514A5"/>
    <w:rsid w:val="00451C28"/>
    <w:rsid w:val="00452C3E"/>
    <w:rsid w:val="004534B6"/>
    <w:rsid w:val="00453BD2"/>
    <w:rsid w:val="004552E5"/>
    <w:rsid w:val="004555F2"/>
    <w:rsid w:val="004607CF"/>
    <w:rsid w:val="00460ECF"/>
    <w:rsid w:val="00465E07"/>
    <w:rsid w:val="00467AD4"/>
    <w:rsid w:val="004726CC"/>
    <w:rsid w:val="004732E9"/>
    <w:rsid w:val="004744A0"/>
    <w:rsid w:val="00475559"/>
    <w:rsid w:val="00475F30"/>
    <w:rsid w:val="0047659B"/>
    <w:rsid w:val="00476B7A"/>
    <w:rsid w:val="0048047F"/>
    <w:rsid w:val="00482720"/>
    <w:rsid w:val="00484757"/>
    <w:rsid w:val="004854BB"/>
    <w:rsid w:val="00487A7D"/>
    <w:rsid w:val="00487E8E"/>
    <w:rsid w:val="00490CDF"/>
    <w:rsid w:val="00491AD5"/>
    <w:rsid w:val="004925AB"/>
    <w:rsid w:val="00494493"/>
    <w:rsid w:val="00494DCC"/>
    <w:rsid w:val="00496606"/>
    <w:rsid w:val="004A0673"/>
    <w:rsid w:val="004A175D"/>
    <w:rsid w:val="004B1349"/>
    <w:rsid w:val="004B420D"/>
    <w:rsid w:val="004B5A22"/>
    <w:rsid w:val="004B6703"/>
    <w:rsid w:val="004C146A"/>
    <w:rsid w:val="004C5943"/>
    <w:rsid w:val="004D0455"/>
    <w:rsid w:val="004D0803"/>
    <w:rsid w:val="004D26D1"/>
    <w:rsid w:val="004D270E"/>
    <w:rsid w:val="004D4414"/>
    <w:rsid w:val="004D4723"/>
    <w:rsid w:val="004D4A24"/>
    <w:rsid w:val="004E012D"/>
    <w:rsid w:val="004E5E66"/>
    <w:rsid w:val="004E63DE"/>
    <w:rsid w:val="004E7ADB"/>
    <w:rsid w:val="004E7AFB"/>
    <w:rsid w:val="004F0378"/>
    <w:rsid w:val="004F39DF"/>
    <w:rsid w:val="004F3C2F"/>
    <w:rsid w:val="0050188A"/>
    <w:rsid w:val="00503B4D"/>
    <w:rsid w:val="00504617"/>
    <w:rsid w:val="00504EE9"/>
    <w:rsid w:val="005076EF"/>
    <w:rsid w:val="005113A9"/>
    <w:rsid w:val="005154AF"/>
    <w:rsid w:val="005156FB"/>
    <w:rsid w:val="00516671"/>
    <w:rsid w:val="00517CA7"/>
    <w:rsid w:val="0052015B"/>
    <w:rsid w:val="00520BB4"/>
    <w:rsid w:val="00521576"/>
    <w:rsid w:val="005250E6"/>
    <w:rsid w:val="005275A1"/>
    <w:rsid w:val="0053079B"/>
    <w:rsid w:val="00530E20"/>
    <w:rsid w:val="00531779"/>
    <w:rsid w:val="005335C2"/>
    <w:rsid w:val="005342E1"/>
    <w:rsid w:val="005367CE"/>
    <w:rsid w:val="005378EB"/>
    <w:rsid w:val="0054262D"/>
    <w:rsid w:val="00542D23"/>
    <w:rsid w:val="005432F4"/>
    <w:rsid w:val="0054442C"/>
    <w:rsid w:val="00544E25"/>
    <w:rsid w:val="00550285"/>
    <w:rsid w:val="00550A44"/>
    <w:rsid w:val="00551567"/>
    <w:rsid w:val="0055271E"/>
    <w:rsid w:val="00553709"/>
    <w:rsid w:val="0055380C"/>
    <w:rsid w:val="005567E1"/>
    <w:rsid w:val="005576F9"/>
    <w:rsid w:val="00562492"/>
    <w:rsid w:val="005672B7"/>
    <w:rsid w:val="00567AA3"/>
    <w:rsid w:val="00572A20"/>
    <w:rsid w:val="00576E96"/>
    <w:rsid w:val="00582560"/>
    <w:rsid w:val="00582FC4"/>
    <w:rsid w:val="005836F8"/>
    <w:rsid w:val="00584935"/>
    <w:rsid w:val="00586339"/>
    <w:rsid w:val="005865F7"/>
    <w:rsid w:val="005918FA"/>
    <w:rsid w:val="00592A86"/>
    <w:rsid w:val="005936DE"/>
    <w:rsid w:val="00595FD6"/>
    <w:rsid w:val="005A0DAD"/>
    <w:rsid w:val="005B1766"/>
    <w:rsid w:val="005B2389"/>
    <w:rsid w:val="005B3DFC"/>
    <w:rsid w:val="005B4801"/>
    <w:rsid w:val="005C13B4"/>
    <w:rsid w:val="005C23A4"/>
    <w:rsid w:val="005C3A3F"/>
    <w:rsid w:val="005C5D3D"/>
    <w:rsid w:val="005D0CE2"/>
    <w:rsid w:val="005D1624"/>
    <w:rsid w:val="005D1CDF"/>
    <w:rsid w:val="005D25BA"/>
    <w:rsid w:val="005D2BB7"/>
    <w:rsid w:val="005D4BE9"/>
    <w:rsid w:val="005D5365"/>
    <w:rsid w:val="005D6BBC"/>
    <w:rsid w:val="005E1D95"/>
    <w:rsid w:val="005E2F4E"/>
    <w:rsid w:val="005E313A"/>
    <w:rsid w:val="005E61A8"/>
    <w:rsid w:val="005F2A71"/>
    <w:rsid w:val="005F31F5"/>
    <w:rsid w:val="005F44B1"/>
    <w:rsid w:val="005F605E"/>
    <w:rsid w:val="005F6419"/>
    <w:rsid w:val="0060364C"/>
    <w:rsid w:val="0060543D"/>
    <w:rsid w:val="0060596E"/>
    <w:rsid w:val="00606466"/>
    <w:rsid w:val="00606520"/>
    <w:rsid w:val="006104DD"/>
    <w:rsid w:val="0061099E"/>
    <w:rsid w:val="00611614"/>
    <w:rsid w:val="006130B5"/>
    <w:rsid w:val="006137C8"/>
    <w:rsid w:val="006163C7"/>
    <w:rsid w:val="006164A8"/>
    <w:rsid w:val="00616F8F"/>
    <w:rsid w:val="00617400"/>
    <w:rsid w:val="006237F2"/>
    <w:rsid w:val="00625694"/>
    <w:rsid w:val="00626DA8"/>
    <w:rsid w:val="006307E9"/>
    <w:rsid w:val="00631750"/>
    <w:rsid w:val="00631F5D"/>
    <w:rsid w:val="00632D29"/>
    <w:rsid w:val="00633CBA"/>
    <w:rsid w:val="00634F00"/>
    <w:rsid w:val="0063550A"/>
    <w:rsid w:val="00642492"/>
    <w:rsid w:val="00646CF1"/>
    <w:rsid w:val="0064790D"/>
    <w:rsid w:val="006506F6"/>
    <w:rsid w:val="00651AE9"/>
    <w:rsid w:val="00654EB2"/>
    <w:rsid w:val="0065644D"/>
    <w:rsid w:val="00657EF8"/>
    <w:rsid w:val="00660CC8"/>
    <w:rsid w:val="006624F4"/>
    <w:rsid w:val="006630CF"/>
    <w:rsid w:val="00664950"/>
    <w:rsid w:val="006662EC"/>
    <w:rsid w:val="00667629"/>
    <w:rsid w:val="00667B4B"/>
    <w:rsid w:val="00672320"/>
    <w:rsid w:val="00676A84"/>
    <w:rsid w:val="00681079"/>
    <w:rsid w:val="00683220"/>
    <w:rsid w:val="006849DD"/>
    <w:rsid w:val="00684AA8"/>
    <w:rsid w:val="00684D9B"/>
    <w:rsid w:val="0068638B"/>
    <w:rsid w:val="00687FA0"/>
    <w:rsid w:val="0069045A"/>
    <w:rsid w:val="00691CFF"/>
    <w:rsid w:val="0069398C"/>
    <w:rsid w:val="00697136"/>
    <w:rsid w:val="00697C3C"/>
    <w:rsid w:val="006A0051"/>
    <w:rsid w:val="006A12FE"/>
    <w:rsid w:val="006A151F"/>
    <w:rsid w:val="006A3C11"/>
    <w:rsid w:val="006A4D41"/>
    <w:rsid w:val="006A5402"/>
    <w:rsid w:val="006B052E"/>
    <w:rsid w:val="006B08EE"/>
    <w:rsid w:val="006B223C"/>
    <w:rsid w:val="006B318B"/>
    <w:rsid w:val="006B3CFE"/>
    <w:rsid w:val="006B6D60"/>
    <w:rsid w:val="006B7010"/>
    <w:rsid w:val="006B7D41"/>
    <w:rsid w:val="006B7E9D"/>
    <w:rsid w:val="006C1536"/>
    <w:rsid w:val="006C1DD5"/>
    <w:rsid w:val="006C1F15"/>
    <w:rsid w:val="006C3095"/>
    <w:rsid w:val="006C41BD"/>
    <w:rsid w:val="006C7603"/>
    <w:rsid w:val="006D0029"/>
    <w:rsid w:val="006D0799"/>
    <w:rsid w:val="006D2283"/>
    <w:rsid w:val="006D3974"/>
    <w:rsid w:val="006D4968"/>
    <w:rsid w:val="006D4DE6"/>
    <w:rsid w:val="006D5FB2"/>
    <w:rsid w:val="006E1151"/>
    <w:rsid w:val="006E2FBD"/>
    <w:rsid w:val="006E514C"/>
    <w:rsid w:val="006E56F1"/>
    <w:rsid w:val="006E6311"/>
    <w:rsid w:val="006E6352"/>
    <w:rsid w:val="006E6BC3"/>
    <w:rsid w:val="006E7E44"/>
    <w:rsid w:val="006F0E6B"/>
    <w:rsid w:val="006F3720"/>
    <w:rsid w:val="006F3AA7"/>
    <w:rsid w:val="006F46E8"/>
    <w:rsid w:val="006F72B2"/>
    <w:rsid w:val="00701DD7"/>
    <w:rsid w:val="00704BAE"/>
    <w:rsid w:val="007070C1"/>
    <w:rsid w:val="00707D26"/>
    <w:rsid w:val="0071187D"/>
    <w:rsid w:val="007128F2"/>
    <w:rsid w:val="0071413F"/>
    <w:rsid w:val="007145FF"/>
    <w:rsid w:val="00714A14"/>
    <w:rsid w:val="007155B8"/>
    <w:rsid w:val="0071581D"/>
    <w:rsid w:val="00715B2A"/>
    <w:rsid w:val="00722169"/>
    <w:rsid w:val="00722D03"/>
    <w:rsid w:val="00722EDD"/>
    <w:rsid w:val="00724987"/>
    <w:rsid w:val="0072684C"/>
    <w:rsid w:val="007273FD"/>
    <w:rsid w:val="00734593"/>
    <w:rsid w:val="0074493E"/>
    <w:rsid w:val="00744FE9"/>
    <w:rsid w:val="007450F1"/>
    <w:rsid w:val="007477E5"/>
    <w:rsid w:val="00747E94"/>
    <w:rsid w:val="00751515"/>
    <w:rsid w:val="00753020"/>
    <w:rsid w:val="007534ED"/>
    <w:rsid w:val="0075351A"/>
    <w:rsid w:val="00753D32"/>
    <w:rsid w:val="00754A6A"/>
    <w:rsid w:val="00754F7C"/>
    <w:rsid w:val="007600CD"/>
    <w:rsid w:val="007610B5"/>
    <w:rsid w:val="007611F2"/>
    <w:rsid w:val="007626B7"/>
    <w:rsid w:val="0076306D"/>
    <w:rsid w:val="00766AFC"/>
    <w:rsid w:val="00767642"/>
    <w:rsid w:val="00770F74"/>
    <w:rsid w:val="00771706"/>
    <w:rsid w:val="00772BAA"/>
    <w:rsid w:val="00772CD9"/>
    <w:rsid w:val="00774280"/>
    <w:rsid w:val="007744F0"/>
    <w:rsid w:val="00774DBE"/>
    <w:rsid w:val="007755BA"/>
    <w:rsid w:val="0078212B"/>
    <w:rsid w:val="00784497"/>
    <w:rsid w:val="00784DF6"/>
    <w:rsid w:val="00785232"/>
    <w:rsid w:val="00786826"/>
    <w:rsid w:val="00791509"/>
    <w:rsid w:val="007921D4"/>
    <w:rsid w:val="00793D89"/>
    <w:rsid w:val="007943A1"/>
    <w:rsid w:val="00794C0C"/>
    <w:rsid w:val="007961F7"/>
    <w:rsid w:val="007A0AEA"/>
    <w:rsid w:val="007A1BFD"/>
    <w:rsid w:val="007A565F"/>
    <w:rsid w:val="007A5E7F"/>
    <w:rsid w:val="007A7444"/>
    <w:rsid w:val="007B186C"/>
    <w:rsid w:val="007B7B91"/>
    <w:rsid w:val="007C1696"/>
    <w:rsid w:val="007C221D"/>
    <w:rsid w:val="007C288F"/>
    <w:rsid w:val="007C3872"/>
    <w:rsid w:val="007C38B2"/>
    <w:rsid w:val="007C3ED0"/>
    <w:rsid w:val="007C5971"/>
    <w:rsid w:val="007C5B80"/>
    <w:rsid w:val="007C5DF7"/>
    <w:rsid w:val="007D0881"/>
    <w:rsid w:val="007D1E72"/>
    <w:rsid w:val="007D22E7"/>
    <w:rsid w:val="007D280E"/>
    <w:rsid w:val="007D4FC4"/>
    <w:rsid w:val="007E154C"/>
    <w:rsid w:val="007E1EA8"/>
    <w:rsid w:val="007E2755"/>
    <w:rsid w:val="007E2E2F"/>
    <w:rsid w:val="007E5117"/>
    <w:rsid w:val="007F1770"/>
    <w:rsid w:val="007F19F6"/>
    <w:rsid w:val="007F26E6"/>
    <w:rsid w:val="007F54B9"/>
    <w:rsid w:val="007F6591"/>
    <w:rsid w:val="007F6859"/>
    <w:rsid w:val="007F739D"/>
    <w:rsid w:val="00800E38"/>
    <w:rsid w:val="0080110A"/>
    <w:rsid w:val="00803141"/>
    <w:rsid w:val="008052E2"/>
    <w:rsid w:val="008056CC"/>
    <w:rsid w:val="00806A76"/>
    <w:rsid w:val="008078AB"/>
    <w:rsid w:val="00807E85"/>
    <w:rsid w:val="00811C9D"/>
    <w:rsid w:val="0081304A"/>
    <w:rsid w:val="00813557"/>
    <w:rsid w:val="0081355A"/>
    <w:rsid w:val="00816C80"/>
    <w:rsid w:val="0081777E"/>
    <w:rsid w:val="00820427"/>
    <w:rsid w:val="008210B2"/>
    <w:rsid w:val="008216D9"/>
    <w:rsid w:val="008223F2"/>
    <w:rsid w:val="00822F93"/>
    <w:rsid w:val="00823C18"/>
    <w:rsid w:val="0082634A"/>
    <w:rsid w:val="008263EE"/>
    <w:rsid w:val="0083281A"/>
    <w:rsid w:val="0083482B"/>
    <w:rsid w:val="0083577F"/>
    <w:rsid w:val="00841241"/>
    <w:rsid w:val="00841BCD"/>
    <w:rsid w:val="00843022"/>
    <w:rsid w:val="008440CB"/>
    <w:rsid w:val="0084418B"/>
    <w:rsid w:val="00846105"/>
    <w:rsid w:val="00851309"/>
    <w:rsid w:val="00851A8E"/>
    <w:rsid w:val="0085206F"/>
    <w:rsid w:val="00852307"/>
    <w:rsid w:val="0085365B"/>
    <w:rsid w:val="008540D5"/>
    <w:rsid w:val="00855F7A"/>
    <w:rsid w:val="00857D42"/>
    <w:rsid w:val="00861D88"/>
    <w:rsid w:val="008629C0"/>
    <w:rsid w:val="00862BE0"/>
    <w:rsid w:val="00863F03"/>
    <w:rsid w:val="00865507"/>
    <w:rsid w:val="0086649C"/>
    <w:rsid w:val="00870141"/>
    <w:rsid w:val="00870ED0"/>
    <w:rsid w:val="00870FA5"/>
    <w:rsid w:val="00871640"/>
    <w:rsid w:val="00872E1A"/>
    <w:rsid w:val="00873502"/>
    <w:rsid w:val="008764B5"/>
    <w:rsid w:val="00876E58"/>
    <w:rsid w:val="00877E6C"/>
    <w:rsid w:val="00880973"/>
    <w:rsid w:val="008826C1"/>
    <w:rsid w:val="00883CAC"/>
    <w:rsid w:val="00883DFD"/>
    <w:rsid w:val="0088488E"/>
    <w:rsid w:val="00892DE0"/>
    <w:rsid w:val="008940CC"/>
    <w:rsid w:val="00895105"/>
    <w:rsid w:val="008955ED"/>
    <w:rsid w:val="008A1BF7"/>
    <w:rsid w:val="008A2FCE"/>
    <w:rsid w:val="008A5942"/>
    <w:rsid w:val="008A5B0E"/>
    <w:rsid w:val="008A63F3"/>
    <w:rsid w:val="008A69DB"/>
    <w:rsid w:val="008A7CFF"/>
    <w:rsid w:val="008B0961"/>
    <w:rsid w:val="008B391C"/>
    <w:rsid w:val="008B5770"/>
    <w:rsid w:val="008B5D82"/>
    <w:rsid w:val="008B64B7"/>
    <w:rsid w:val="008B6E2B"/>
    <w:rsid w:val="008C2268"/>
    <w:rsid w:val="008C39F7"/>
    <w:rsid w:val="008D0B77"/>
    <w:rsid w:val="008D2B4C"/>
    <w:rsid w:val="008D5607"/>
    <w:rsid w:val="008D7F1E"/>
    <w:rsid w:val="008E37D5"/>
    <w:rsid w:val="008E3D0A"/>
    <w:rsid w:val="008E4B2D"/>
    <w:rsid w:val="008E56E3"/>
    <w:rsid w:val="008E5DFA"/>
    <w:rsid w:val="008E6953"/>
    <w:rsid w:val="008E6CE7"/>
    <w:rsid w:val="008F4588"/>
    <w:rsid w:val="008F5AA1"/>
    <w:rsid w:val="008F602F"/>
    <w:rsid w:val="008F6982"/>
    <w:rsid w:val="00900253"/>
    <w:rsid w:val="0090091A"/>
    <w:rsid w:val="0090179A"/>
    <w:rsid w:val="0090184C"/>
    <w:rsid w:val="0090247C"/>
    <w:rsid w:val="009042BD"/>
    <w:rsid w:val="00904502"/>
    <w:rsid w:val="00904FE4"/>
    <w:rsid w:val="00906F5E"/>
    <w:rsid w:val="009079DD"/>
    <w:rsid w:val="00910CB4"/>
    <w:rsid w:val="00910FFB"/>
    <w:rsid w:val="00911D7E"/>
    <w:rsid w:val="0091304A"/>
    <w:rsid w:val="00914FCD"/>
    <w:rsid w:val="00920E38"/>
    <w:rsid w:val="00927114"/>
    <w:rsid w:val="00931E93"/>
    <w:rsid w:val="00935521"/>
    <w:rsid w:val="0093579A"/>
    <w:rsid w:val="00936159"/>
    <w:rsid w:val="00936226"/>
    <w:rsid w:val="009409E7"/>
    <w:rsid w:val="00945733"/>
    <w:rsid w:val="00946C8B"/>
    <w:rsid w:val="00954F4F"/>
    <w:rsid w:val="00956CE7"/>
    <w:rsid w:val="0095775C"/>
    <w:rsid w:val="00957ABE"/>
    <w:rsid w:val="00960CB5"/>
    <w:rsid w:val="00962256"/>
    <w:rsid w:val="00965BCE"/>
    <w:rsid w:val="009660D2"/>
    <w:rsid w:val="00967C2F"/>
    <w:rsid w:val="00967C3E"/>
    <w:rsid w:val="0097256F"/>
    <w:rsid w:val="00975E26"/>
    <w:rsid w:val="00975E5B"/>
    <w:rsid w:val="009770AC"/>
    <w:rsid w:val="00977431"/>
    <w:rsid w:val="00977D4E"/>
    <w:rsid w:val="00977E1D"/>
    <w:rsid w:val="00980C3B"/>
    <w:rsid w:val="00981450"/>
    <w:rsid w:val="00982522"/>
    <w:rsid w:val="00984056"/>
    <w:rsid w:val="00984B3A"/>
    <w:rsid w:val="00986A90"/>
    <w:rsid w:val="0098739C"/>
    <w:rsid w:val="00987718"/>
    <w:rsid w:val="009878CB"/>
    <w:rsid w:val="0099097E"/>
    <w:rsid w:val="00991982"/>
    <w:rsid w:val="009A0796"/>
    <w:rsid w:val="009A0FF3"/>
    <w:rsid w:val="009A47AC"/>
    <w:rsid w:val="009A4B41"/>
    <w:rsid w:val="009A61E1"/>
    <w:rsid w:val="009A7B06"/>
    <w:rsid w:val="009B0419"/>
    <w:rsid w:val="009B0573"/>
    <w:rsid w:val="009B083D"/>
    <w:rsid w:val="009B14E2"/>
    <w:rsid w:val="009B3315"/>
    <w:rsid w:val="009B7B4B"/>
    <w:rsid w:val="009B7C21"/>
    <w:rsid w:val="009C00FB"/>
    <w:rsid w:val="009C0840"/>
    <w:rsid w:val="009C1DF8"/>
    <w:rsid w:val="009C327F"/>
    <w:rsid w:val="009C4402"/>
    <w:rsid w:val="009C442B"/>
    <w:rsid w:val="009C5B1F"/>
    <w:rsid w:val="009D0625"/>
    <w:rsid w:val="009D0932"/>
    <w:rsid w:val="009D0E43"/>
    <w:rsid w:val="009D10DC"/>
    <w:rsid w:val="009D29AC"/>
    <w:rsid w:val="009D2CD2"/>
    <w:rsid w:val="009D5133"/>
    <w:rsid w:val="009E3371"/>
    <w:rsid w:val="009E56F0"/>
    <w:rsid w:val="009E5A7F"/>
    <w:rsid w:val="009F1987"/>
    <w:rsid w:val="009F29BD"/>
    <w:rsid w:val="009F3EB3"/>
    <w:rsid w:val="009F57FA"/>
    <w:rsid w:val="009F5AE5"/>
    <w:rsid w:val="00A000A7"/>
    <w:rsid w:val="00A02817"/>
    <w:rsid w:val="00A03C04"/>
    <w:rsid w:val="00A03E86"/>
    <w:rsid w:val="00A04992"/>
    <w:rsid w:val="00A04BB3"/>
    <w:rsid w:val="00A10F4F"/>
    <w:rsid w:val="00A1108A"/>
    <w:rsid w:val="00A147AA"/>
    <w:rsid w:val="00A15C91"/>
    <w:rsid w:val="00A175C2"/>
    <w:rsid w:val="00A17D56"/>
    <w:rsid w:val="00A2026C"/>
    <w:rsid w:val="00A20A67"/>
    <w:rsid w:val="00A2134F"/>
    <w:rsid w:val="00A21D71"/>
    <w:rsid w:val="00A22B78"/>
    <w:rsid w:val="00A230D7"/>
    <w:rsid w:val="00A244B1"/>
    <w:rsid w:val="00A2550C"/>
    <w:rsid w:val="00A25AE5"/>
    <w:rsid w:val="00A27886"/>
    <w:rsid w:val="00A30C7F"/>
    <w:rsid w:val="00A30D5B"/>
    <w:rsid w:val="00A34695"/>
    <w:rsid w:val="00A367EC"/>
    <w:rsid w:val="00A37002"/>
    <w:rsid w:val="00A4355E"/>
    <w:rsid w:val="00A46264"/>
    <w:rsid w:val="00A47042"/>
    <w:rsid w:val="00A50253"/>
    <w:rsid w:val="00A51F9B"/>
    <w:rsid w:val="00A54D1C"/>
    <w:rsid w:val="00A55E21"/>
    <w:rsid w:val="00A577E8"/>
    <w:rsid w:val="00A60BB7"/>
    <w:rsid w:val="00A6341D"/>
    <w:rsid w:val="00A65C49"/>
    <w:rsid w:val="00A66B0D"/>
    <w:rsid w:val="00A67948"/>
    <w:rsid w:val="00A710D8"/>
    <w:rsid w:val="00A7250D"/>
    <w:rsid w:val="00A728FF"/>
    <w:rsid w:val="00A72FCC"/>
    <w:rsid w:val="00A75C69"/>
    <w:rsid w:val="00A81C65"/>
    <w:rsid w:val="00A82219"/>
    <w:rsid w:val="00A829BE"/>
    <w:rsid w:val="00A83BA7"/>
    <w:rsid w:val="00A84554"/>
    <w:rsid w:val="00A91A7D"/>
    <w:rsid w:val="00A91FF1"/>
    <w:rsid w:val="00A92BCD"/>
    <w:rsid w:val="00A93A4D"/>
    <w:rsid w:val="00A9608F"/>
    <w:rsid w:val="00A9720E"/>
    <w:rsid w:val="00AA1B0E"/>
    <w:rsid w:val="00AA2EE2"/>
    <w:rsid w:val="00AA3540"/>
    <w:rsid w:val="00AA47B6"/>
    <w:rsid w:val="00AA5216"/>
    <w:rsid w:val="00AA53C5"/>
    <w:rsid w:val="00AA5E7F"/>
    <w:rsid w:val="00AA5FD1"/>
    <w:rsid w:val="00AA6603"/>
    <w:rsid w:val="00AB1359"/>
    <w:rsid w:val="00AB1E56"/>
    <w:rsid w:val="00AB2BD8"/>
    <w:rsid w:val="00AB3730"/>
    <w:rsid w:val="00AB5CE4"/>
    <w:rsid w:val="00AB6232"/>
    <w:rsid w:val="00AB7BFE"/>
    <w:rsid w:val="00AC1454"/>
    <w:rsid w:val="00AC163B"/>
    <w:rsid w:val="00AC2302"/>
    <w:rsid w:val="00AC434C"/>
    <w:rsid w:val="00AC4C0F"/>
    <w:rsid w:val="00AC4C2A"/>
    <w:rsid w:val="00AC5240"/>
    <w:rsid w:val="00AC5CA7"/>
    <w:rsid w:val="00AC6058"/>
    <w:rsid w:val="00AC7B77"/>
    <w:rsid w:val="00AD12A3"/>
    <w:rsid w:val="00AD1FB0"/>
    <w:rsid w:val="00AE0A56"/>
    <w:rsid w:val="00AE2422"/>
    <w:rsid w:val="00AE2BA5"/>
    <w:rsid w:val="00AE56B1"/>
    <w:rsid w:val="00AE6D09"/>
    <w:rsid w:val="00AE7B33"/>
    <w:rsid w:val="00AF1BAF"/>
    <w:rsid w:val="00AF3804"/>
    <w:rsid w:val="00AF38AA"/>
    <w:rsid w:val="00AF3C51"/>
    <w:rsid w:val="00AF3DEE"/>
    <w:rsid w:val="00AF74B8"/>
    <w:rsid w:val="00AF7A7C"/>
    <w:rsid w:val="00B01EFE"/>
    <w:rsid w:val="00B02070"/>
    <w:rsid w:val="00B03789"/>
    <w:rsid w:val="00B10597"/>
    <w:rsid w:val="00B11C67"/>
    <w:rsid w:val="00B12AE5"/>
    <w:rsid w:val="00B14DB2"/>
    <w:rsid w:val="00B157F8"/>
    <w:rsid w:val="00B16F9A"/>
    <w:rsid w:val="00B20F12"/>
    <w:rsid w:val="00B219F6"/>
    <w:rsid w:val="00B22FB2"/>
    <w:rsid w:val="00B25ED5"/>
    <w:rsid w:val="00B32690"/>
    <w:rsid w:val="00B32EB7"/>
    <w:rsid w:val="00B349C8"/>
    <w:rsid w:val="00B408B6"/>
    <w:rsid w:val="00B42CCD"/>
    <w:rsid w:val="00B4772C"/>
    <w:rsid w:val="00B5033B"/>
    <w:rsid w:val="00B51CA4"/>
    <w:rsid w:val="00B53972"/>
    <w:rsid w:val="00B53C21"/>
    <w:rsid w:val="00B542DA"/>
    <w:rsid w:val="00B55C26"/>
    <w:rsid w:val="00B60617"/>
    <w:rsid w:val="00B615E9"/>
    <w:rsid w:val="00B63DB5"/>
    <w:rsid w:val="00B648B1"/>
    <w:rsid w:val="00B64DF5"/>
    <w:rsid w:val="00B70A0E"/>
    <w:rsid w:val="00B70D9E"/>
    <w:rsid w:val="00B72A0F"/>
    <w:rsid w:val="00B73862"/>
    <w:rsid w:val="00B73867"/>
    <w:rsid w:val="00B73F43"/>
    <w:rsid w:val="00B75F62"/>
    <w:rsid w:val="00B85994"/>
    <w:rsid w:val="00B879B7"/>
    <w:rsid w:val="00B927F0"/>
    <w:rsid w:val="00B92C52"/>
    <w:rsid w:val="00B94F39"/>
    <w:rsid w:val="00B95916"/>
    <w:rsid w:val="00B95AD2"/>
    <w:rsid w:val="00B96D3D"/>
    <w:rsid w:val="00B97B7E"/>
    <w:rsid w:val="00BA0DD3"/>
    <w:rsid w:val="00BA2BF5"/>
    <w:rsid w:val="00BA65D5"/>
    <w:rsid w:val="00BA6B66"/>
    <w:rsid w:val="00BA6D22"/>
    <w:rsid w:val="00BA6E48"/>
    <w:rsid w:val="00BB44E7"/>
    <w:rsid w:val="00BB52A3"/>
    <w:rsid w:val="00BB5536"/>
    <w:rsid w:val="00BB7A05"/>
    <w:rsid w:val="00BC02A2"/>
    <w:rsid w:val="00BC0569"/>
    <w:rsid w:val="00BC0740"/>
    <w:rsid w:val="00BC4938"/>
    <w:rsid w:val="00BD0599"/>
    <w:rsid w:val="00BD1219"/>
    <w:rsid w:val="00BD17E0"/>
    <w:rsid w:val="00BE0AF6"/>
    <w:rsid w:val="00BE10B4"/>
    <w:rsid w:val="00BE1F03"/>
    <w:rsid w:val="00BE4ECF"/>
    <w:rsid w:val="00BE5719"/>
    <w:rsid w:val="00BE58A7"/>
    <w:rsid w:val="00BF0F4B"/>
    <w:rsid w:val="00BF2218"/>
    <w:rsid w:val="00BF271C"/>
    <w:rsid w:val="00BF281D"/>
    <w:rsid w:val="00BF3C83"/>
    <w:rsid w:val="00BF4478"/>
    <w:rsid w:val="00BF66C6"/>
    <w:rsid w:val="00C028BF"/>
    <w:rsid w:val="00C02BFA"/>
    <w:rsid w:val="00C0426B"/>
    <w:rsid w:val="00C045DF"/>
    <w:rsid w:val="00C06DE4"/>
    <w:rsid w:val="00C116CB"/>
    <w:rsid w:val="00C12E7E"/>
    <w:rsid w:val="00C13DDB"/>
    <w:rsid w:val="00C14562"/>
    <w:rsid w:val="00C14C52"/>
    <w:rsid w:val="00C169E7"/>
    <w:rsid w:val="00C177DE"/>
    <w:rsid w:val="00C17F8E"/>
    <w:rsid w:val="00C20277"/>
    <w:rsid w:val="00C26D43"/>
    <w:rsid w:val="00C2754D"/>
    <w:rsid w:val="00C30151"/>
    <w:rsid w:val="00C307B8"/>
    <w:rsid w:val="00C31711"/>
    <w:rsid w:val="00C3381B"/>
    <w:rsid w:val="00C348E5"/>
    <w:rsid w:val="00C372A8"/>
    <w:rsid w:val="00C373BF"/>
    <w:rsid w:val="00C37F8E"/>
    <w:rsid w:val="00C42080"/>
    <w:rsid w:val="00C46548"/>
    <w:rsid w:val="00C46FDF"/>
    <w:rsid w:val="00C54C4A"/>
    <w:rsid w:val="00C55E81"/>
    <w:rsid w:val="00C574D5"/>
    <w:rsid w:val="00C60950"/>
    <w:rsid w:val="00C629A6"/>
    <w:rsid w:val="00C64967"/>
    <w:rsid w:val="00C67E63"/>
    <w:rsid w:val="00C71F22"/>
    <w:rsid w:val="00C71F9D"/>
    <w:rsid w:val="00C726BE"/>
    <w:rsid w:val="00C73F32"/>
    <w:rsid w:val="00C75032"/>
    <w:rsid w:val="00C7586E"/>
    <w:rsid w:val="00C7665D"/>
    <w:rsid w:val="00C86CA5"/>
    <w:rsid w:val="00C87462"/>
    <w:rsid w:val="00C90CDA"/>
    <w:rsid w:val="00C92EF3"/>
    <w:rsid w:val="00C930B9"/>
    <w:rsid w:val="00C93885"/>
    <w:rsid w:val="00C9440F"/>
    <w:rsid w:val="00C9512F"/>
    <w:rsid w:val="00C96903"/>
    <w:rsid w:val="00C972CB"/>
    <w:rsid w:val="00CA02AF"/>
    <w:rsid w:val="00CA180C"/>
    <w:rsid w:val="00CA4630"/>
    <w:rsid w:val="00CA551A"/>
    <w:rsid w:val="00CA723F"/>
    <w:rsid w:val="00CB0D70"/>
    <w:rsid w:val="00CB1492"/>
    <w:rsid w:val="00CB22B2"/>
    <w:rsid w:val="00CB4AB6"/>
    <w:rsid w:val="00CB649A"/>
    <w:rsid w:val="00CC3EE2"/>
    <w:rsid w:val="00CC4447"/>
    <w:rsid w:val="00CC5ECC"/>
    <w:rsid w:val="00CC6908"/>
    <w:rsid w:val="00CD0E34"/>
    <w:rsid w:val="00CD506F"/>
    <w:rsid w:val="00CD6FC9"/>
    <w:rsid w:val="00CD7492"/>
    <w:rsid w:val="00CE3A6B"/>
    <w:rsid w:val="00CE41A7"/>
    <w:rsid w:val="00CE6613"/>
    <w:rsid w:val="00CF2AAF"/>
    <w:rsid w:val="00CF2B05"/>
    <w:rsid w:val="00CF2E29"/>
    <w:rsid w:val="00CF41B5"/>
    <w:rsid w:val="00CF42EA"/>
    <w:rsid w:val="00CF6837"/>
    <w:rsid w:val="00D00211"/>
    <w:rsid w:val="00D01CD1"/>
    <w:rsid w:val="00D022AE"/>
    <w:rsid w:val="00D04749"/>
    <w:rsid w:val="00D04A9E"/>
    <w:rsid w:val="00D06309"/>
    <w:rsid w:val="00D07ADC"/>
    <w:rsid w:val="00D12D0F"/>
    <w:rsid w:val="00D22BA3"/>
    <w:rsid w:val="00D2381C"/>
    <w:rsid w:val="00D241D1"/>
    <w:rsid w:val="00D25DDF"/>
    <w:rsid w:val="00D351EA"/>
    <w:rsid w:val="00D40288"/>
    <w:rsid w:val="00D43403"/>
    <w:rsid w:val="00D43B15"/>
    <w:rsid w:val="00D455F1"/>
    <w:rsid w:val="00D5270B"/>
    <w:rsid w:val="00D554E9"/>
    <w:rsid w:val="00D57068"/>
    <w:rsid w:val="00D574DC"/>
    <w:rsid w:val="00D618BF"/>
    <w:rsid w:val="00D6298A"/>
    <w:rsid w:val="00D62E71"/>
    <w:rsid w:val="00D6430D"/>
    <w:rsid w:val="00D65C12"/>
    <w:rsid w:val="00D66188"/>
    <w:rsid w:val="00D67E2B"/>
    <w:rsid w:val="00D70041"/>
    <w:rsid w:val="00D716F3"/>
    <w:rsid w:val="00D72666"/>
    <w:rsid w:val="00D731F6"/>
    <w:rsid w:val="00D740CA"/>
    <w:rsid w:val="00D83A10"/>
    <w:rsid w:val="00D84805"/>
    <w:rsid w:val="00D849A8"/>
    <w:rsid w:val="00D85728"/>
    <w:rsid w:val="00D857EC"/>
    <w:rsid w:val="00D85D69"/>
    <w:rsid w:val="00D86D05"/>
    <w:rsid w:val="00D902B7"/>
    <w:rsid w:val="00D90F61"/>
    <w:rsid w:val="00D91005"/>
    <w:rsid w:val="00D91C7B"/>
    <w:rsid w:val="00D91FA4"/>
    <w:rsid w:val="00D94D5F"/>
    <w:rsid w:val="00D95481"/>
    <w:rsid w:val="00DA0FB1"/>
    <w:rsid w:val="00DA1538"/>
    <w:rsid w:val="00DA2A33"/>
    <w:rsid w:val="00DA3311"/>
    <w:rsid w:val="00DA52F1"/>
    <w:rsid w:val="00DA5439"/>
    <w:rsid w:val="00DA5AAB"/>
    <w:rsid w:val="00DA6737"/>
    <w:rsid w:val="00DA7C3D"/>
    <w:rsid w:val="00DB342B"/>
    <w:rsid w:val="00DB3D1C"/>
    <w:rsid w:val="00DB433C"/>
    <w:rsid w:val="00DB49D8"/>
    <w:rsid w:val="00DB4F48"/>
    <w:rsid w:val="00DB5AD2"/>
    <w:rsid w:val="00DB5D15"/>
    <w:rsid w:val="00DB66A1"/>
    <w:rsid w:val="00DB68D5"/>
    <w:rsid w:val="00DB7F28"/>
    <w:rsid w:val="00DC1498"/>
    <w:rsid w:val="00DC4BC2"/>
    <w:rsid w:val="00DC7A13"/>
    <w:rsid w:val="00DC7C6E"/>
    <w:rsid w:val="00DD0599"/>
    <w:rsid w:val="00DD0A17"/>
    <w:rsid w:val="00DD10AA"/>
    <w:rsid w:val="00DD425E"/>
    <w:rsid w:val="00DD5AC6"/>
    <w:rsid w:val="00DD5CBA"/>
    <w:rsid w:val="00DE212F"/>
    <w:rsid w:val="00DE433F"/>
    <w:rsid w:val="00DE5BD4"/>
    <w:rsid w:val="00DE5E3B"/>
    <w:rsid w:val="00DE649C"/>
    <w:rsid w:val="00DF268E"/>
    <w:rsid w:val="00DF2997"/>
    <w:rsid w:val="00DF395E"/>
    <w:rsid w:val="00DF4C14"/>
    <w:rsid w:val="00E00798"/>
    <w:rsid w:val="00E018DE"/>
    <w:rsid w:val="00E0446E"/>
    <w:rsid w:val="00E04ED0"/>
    <w:rsid w:val="00E063B7"/>
    <w:rsid w:val="00E07221"/>
    <w:rsid w:val="00E10341"/>
    <w:rsid w:val="00E10BC4"/>
    <w:rsid w:val="00E113E9"/>
    <w:rsid w:val="00E11F96"/>
    <w:rsid w:val="00E1415D"/>
    <w:rsid w:val="00E17CF3"/>
    <w:rsid w:val="00E17FFE"/>
    <w:rsid w:val="00E20A22"/>
    <w:rsid w:val="00E21E73"/>
    <w:rsid w:val="00E2216F"/>
    <w:rsid w:val="00E2367A"/>
    <w:rsid w:val="00E323E9"/>
    <w:rsid w:val="00E34018"/>
    <w:rsid w:val="00E346BB"/>
    <w:rsid w:val="00E37025"/>
    <w:rsid w:val="00E41448"/>
    <w:rsid w:val="00E425E3"/>
    <w:rsid w:val="00E437D2"/>
    <w:rsid w:val="00E43A0E"/>
    <w:rsid w:val="00E4531A"/>
    <w:rsid w:val="00E461D2"/>
    <w:rsid w:val="00E47C32"/>
    <w:rsid w:val="00E54963"/>
    <w:rsid w:val="00E551ED"/>
    <w:rsid w:val="00E55450"/>
    <w:rsid w:val="00E55751"/>
    <w:rsid w:val="00E60E47"/>
    <w:rsid w:val="00E61797"/>
    <w:rsid w:val="00E63F72"/>
    <w:rsid w:val="00E66264"/>
    <w:rsid w:val="00E71B83"/>
    <w:rsid w:val="00E72180"/>
    <w:rsid w:val="00E73598"/>
    <w:rsid w:val="00E74F83"/>
    <w:rsid w:val="00E757EE"/>
    <w:rsid w:val="00E75956"/>
    <w:rsid w:val="00E808A2"/>
    <w:rsid w:val="00E80D61"/>
    <w:rsid w:val="00E86000"/>
    <w:rsid w:val="00E867B9"/>
    <w:rsid w:val="00E87642"/>
    <w:rsid w:val="00E92658"/>
    <w:rsid w:val="00E94CC8"/>
    <w:rsid w:val="00EA2311"/>
    <w:rsid w:val="00EA2D30"/>
    <w:rsid w:val="00EA398C"/>
    <w:rsid w:val="00EA645F"/>
    <w:rsid w:val="00EB0008"/>
    <w:rsid w:val="00EB12B1"/>
    <w:rsid w:val="00EB296D"/>
    <w:rsid w:val="00EB44E3"/>
    <w:rsid w:val="00EB79F2"/>
    <w:rsid w:val="00EB7D9F"/>
    <w:rsid w:val="00EC19A9"/>
    <w:rsid w:val="00EC30FA"/>
    <w:rsid w:val="00EC499F"/>
    <w:rsid w:val="00EC7BC3"/>
    <w:rsid w:val="00ED0324"/>
    <w:rsid w:val="00ED33B0"/>
    <w:rsid w:val="00ED3EFD"/>
    <w:rsid w:val="00ED5E03"/>
    <w:rsid w:val="00ED5E19"/>
    <w:rsid w:val="00ED7600"/>
    <w:rsid w:val="00EE1CA4"/>
    <w:rsid w:val="00EE3C9D"/>
    <w:rsid w:val="00EE3D27"/>
    <w:rsid w:val="00EE743C"/>
    <w:rsid w:val="00EF02C1"/>
    <w:rsid w:val="00EF02D7"/>
    <w:rsid w:val="00EF1A95"/>
    <w:rsid w:val="00EF3D51"/>
    <w:rsid w:val="00EF3DA2"/>
    <w:rsid w:val="00EF6073"/>
    <w:rsid w:val="00EF698B"/>
    <w:rsid w:val="00EF6B74"/>
    <w:rsid w:val="00F0146D"/>
    <w:rsid w:val="00F02170"/>
    <w:rsid w:val="00F03365"/>
    <w:rsid w:val="00F03776"/>
    <w:rsid w:val="00F05179"/>
    <w:rsid w:val="00F05549"/>
    <w:rsid w:val="00F05B23"/>
    <w:rsid w:val="00F0609E"/>
    <w:rsid w:val="00F112D2"/>
    <w:rsid w:val="00F1362C"/>
    <w:rsid w:val="00F14EE0"/>
    <w:rsid w:val="00F14F1B"/>
    <w:rsid w:val="00F15DB9"/>
    <w:rsid w:val="00F15FEB"/>
    <w:rsid w:val="00F17254"/>
    <w:rsid w:val="00F21D27"/>
    <w:rsid w:val="00F23064"/>
    <w:rsid w:val="00F25A51"/>
    <w:rsid w:val="00F35365"/>
    <w:rsid w:val="00F3564A"/>
    <w:rsid w:val="00F362E8"/>
    <w:rsid w:val="00F36590"/>
    <w:rsid w:val="00F36F0D"/>
    <w:rsid w:val="00F37980"/>
    <w:rsid w:val="00F37EC4"/>
    <w:rsid w:val="00F4093D"/>
    <w:rsid w:val="00F414F1"/>
    <w:rsid w:val="00F42193"/>
    <w:rsid w:val="00F46121"/>
    <w:rsid w:val="00F47083"/>
    <w:rsid w:val="00F508B8"/>
    <w:rsid w:val="00F51067"/>
    <w:rsid w:val="00F53A2E"/>
    <w:rsid w:val="00F5494A"/>
    <w:rsid w:val="00F57263"/>
    <w:rsid w:val="00F604D6"/>
    <w:rsid w:val="00F64DC1"/>
    <w:rsid w:val="00F66FDA"/>
    <w:rsid w:val="00F672EA"/>
    <w:rsid w:val="00F7085A"/>
    <w:rsid w:val="00F718E0"/>
    <w:rsid w:val="00F72286"/>
    <w:rsid w:val="00F72CB1"/>
    <w:rsid w:val="00F76541"/>
    <w:rsid w:val="00F76DE0"/>
    <w:rsid w:val="00F77E37"/>
    <w:rsid w:val="00F807C1"/>
    <w:rsid w:val="00F81F8C"/>
    <w:rsid w:val="00F8215E"/>
    <w:rsid w:val="00F824F5"/>
    <w:rsid w:val="00F841F9"/>
    <w:rsid w:val="00F90FAB"/>
    <w:rsid w:val="00F91812"/>
    <w:rsid w:val="00F9374D"/>
    <w:rsid w:val="00F945E9"/>
    <w:rsid w:val="00F9600A"/>
    <w:rsid w:val="00FA612E"/>
    <w:rsid w:val="00FA6DCF"/>
    <w:rsid w:val="00FB2E3B"/>
    <w:rsid w:val="00FB64F3"/>
    <w:rsid w:val="00FB760F"/>
    <w:rsid w:val="00FB7CCE"/>
    <w:rsid w:val="00FC1824"/>
    <w:rsid w:val="00FC29B9"/>
    <w:rsid w:val="00FC33DE"/>
    <w:rsid w:val="00FC6509"/>
    <w:rsid w:val="00FC6FD3"/>
    <w:rsid w:val="00FD218B"/>
    <w:rsid w:val="00FD400B"/>
    <w:rsid w:val="00FD7098"/>
    <w:rsid w:val="00FD77A5"/>
    <w:rsid w:val="00FE305C"/>
    <w:rsid w:val="00FE6373"/>
    <w:rsid w:val="00FE762F"/>
    <w:rsid w:val="00FE7B85"/>
    <w:rsid w:val="00FF0301"/>
    <w:rsid w:val="00FF3E74"/>
    <w:rsid w:val="00FF4C8B"/>
    <w:rsid w:val="19BF176F"/>
    <w:rsid w:val="3741CD7D"/>
    <w:rsid w:val="394945E2"/>
    <w:rsid w:val="42004DF7"/>
    <w:rsid w:val="45F6322F"/>
    <w:rsid w:val="6BC9C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8E288"/>
  <w15:chartTrackingRefBased/>
  <w15:docId w15:val="{CBCBF1AA-9311-42F6-ACD8-696A1389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DFC"/>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EA398C"/>
    <w:pPr>
      <w:shd w:val="clear" w:color="auto" w:fill="FFFFFF"/>
      <w:spacing w:before="240" w:after="240" w:line="240" w:lineRule="auto"/>
    </w:pPr>
    <w:rPr>
      <w:rFonts w:cs="Times New Roman"/>
      <w:szCs w:val="20"/>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D91005"/>
    <w:pPr>
      <w:tabs>
        <w:tab w:val="right" w:leader="dot" w:pos="9617"/>
      </w:tabs>
      <w:spacing w:after="100"/>
    </w:pPr>
    <w:rPr>
      <w:b/>
    </w:rPr>
  </w:style>
  <w:style w:type="paragraph" w:styleId="NormalWeb">
    <w:name w:val="Normal (Web)"/>
    <w:basedOn w:val="Normal"/>
    <w:uiPriority w:val="99"/>
    <w:semiHidden/>
    <w:unhideWhenUsed/>
    <w:rsid w:val="00BD121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B75F62"/>
    <w:pPr>
      <w:tabs>
        <w:tab w:val="center" w:pos="4513"/>
        <w:tab w:val="right" w:pos="9026"/>
      </w:tabs>
      <w:spacing w:after="0" w:line="240" w:lineRule="auto"/>
    </w:pPr>
  </w:style>
  <w:style w:type="character" w:customStyle="1" w:styleId="HeaderChar">
    <w:name w:val="Header Char"/>
    <w:basedOn w:val="DefaultParagraphFont"/>
    <w:link w:val="Header"/>
    <w:rsid w:val="00B75F62"/>
    <w:rPr>
      <w:rFonts w:ascii="Times New Roman" w:hAnsi="Times New Roman"/>
      <w:sz w:val="20"/>
    </w:rPr>
  </w:style>
  <w:style w:type="paragraph" w:styleId="Footer">
    <w:name w:val="footer"/>
    <w:basedOn w:val="Normal"/>
    <w:link w:val="FooterChar"/>
    <w:uiPriority w:val="99"/>
    <w:unhideWhenUsed/>
    <w:rsid w:val="00B75F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5F62"/>
    <w:rPr>
      <w:rFonts w:ascii="Times New Roman" w:hAnsi="Times New Roman"/>
      <w:sz w:val="20"/>
    </w:rPr>
  </w:style>
  <w:style w:type="character" w:styleId="Mention">
    <w:name w:val="Mention"/>
    <w:basedOn w:val="DefaultParagraphFont"/>
    <w:uiPriority w:val="99"/>
    <w:unhideWhenUsed/>
    <w:rsid w:val="003C32FA"/>
    <w:rPr>
      <w:color w:val="2B579A"/>
      <w:shd w:val="clear" w:color="auto" w:fill="E1DFDD"/>
    </w:rPr>
  </w:style>
  <w:style w:type="paragraph" w:styleId="Revision">
    <w:name w:val="Revision"/>
    <w:hidden/>
    <w:uiPriority w:val="99"/>
    <w:semiHidden/>
    <w:rsid w:val="00A30C7F"/>
    <w:pPr>
      <w:spacing w:after="0" w:line="240" w:lineRule="auto"/>
    </w:pPr>
    <w:rPr>
      <w:rFonts w:ascii="Times New Roman" w:hAnsi="Times New Roman"/>
      <w:sz w:val="20"/>
    </w:rPr>
  </w:style>
  <w:style w:type="paragraph" w:customStyle="1" w:styleId="paragraph">
    <w:name w:val="paragraph"/>
    <w:basedOn w:val="Normal"/>
    <w:rsid w:val="007F6859"/>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7F6859"/>
  </w:style>
  <w:style w:type="character" w:customStyle="1" w:styleId="eop">
    <w:name w:val="eop"/>
    <w:basedOn w:val="DefaultParagraphFont"/>
    <w:rsid w:val="007F6859"/>
  </w:style>
  <w:style w:type="character" w:customStyle="1" w:styleId="B1Char">
    <w:name w:val="B1 Char"/>
    <w:link w:val="B1"/>
    <w:qFormat/>
    <w:locked/>
    <w:rsid w:val="0084418B"/>
    <w:rPr>
      <w:kern w:val="2"/>
      <w14:ligatures w14:val="standardContextual"/>
    </w:rPr>
  </w:style>
  <w:style w:type="paragraph" w:customStyle="1" w:styleId="B1">
    <w:name w:val="B1"/>
    <w:basedOn w:val="List"/>
    <w:link w:val="B1Char"/>
    <w:qFormat/>
    <w:rsid w:val="0084418B"/>
    <w:pPr>
      <w:spacing w:line="256" w:lineRule="auto"/>
      <w:ind w:left="568" w:hanging="284"/>
      <w:contextualSpacing w:val="0"/>
      <w:jc w:val="left"/>
    </w:pPr>
    <w:rPr>
      <w:rFonts w:asciiTheme="minorHAnsi" w:hAnsiTheme="minorHAnsi"/>
      <w:kern w:val="2"/>
      <w:sz w:val="22"/>
      <w14:ligatures w14:val="standardContextual"/>
    </w:rPr>
  </w:style>
  <w:style w:type="paragraph" w:styleId="List">
    <w:name w:val="List"/>
    <w:basedOn w:val="Normal"/>
    <w:uiPriority w:val="99"/>
    <w:semiHidden/>
    <w:unhideWhenUsed/>
    <w:rsid w:val="0084418B"/>
    <w:pPr>
      <w:ind w:left="283" w:hanging="283"/>
      <w:contextualSpacing/>
    </w:pPr>
  </w:style>
  <w:style w:type="character" w:customStyle="1" w:styleId="cf01">
    <w:name w:val="cf01"/>
    <w:basedOn w:val="DefaultParagraphFont"/>
    <w:rsid w:val="00774DBE"/>
    <w:rPr>
      <w:rFonts w:ascii="Segoe UI" w:hAnsi="Segoe UI" w:cs="Segoe UI" w:hint="default"/>
      <w:sz w:val="18"/>
      <w:szCs w:val="18"/>
    </w:rPr>
  </w:style>
  <w:style w:type="paragraph" w:customStyle="1" w:styleId="pf1">
    <w:name w:val="pf1"/>
    <w:basedOn w:val="Normal"/>
    <w:rsid w:val="001D3627"/>
    <w:pPr>
      <w:spacing w:before="100" w:beforeAutospacing="1" w:after="100" w:afterAutospacing="1" w:line="240" w:lineRule="auto"/>
      <w:ind w:left="160"/>
      <w:jc w:val="left"/>
    </w:pPr>
    <w:rPr>
      <w:rFonts w:eastAsia="Times New Roman" w:cs="Times New Roman"/>
      <w:sz w:val="24"/>
      <w:szCs w:val="24"/>
    </w:rPr>
  </w:style>
  <w:style w:type="paragraph" w:customStyle="1" w:styleId="pf0">
    <w:name w:val="pf0"/>
    <w:basedOn w:val="Normal"/>
    <w:rsid w:val="001D3627"/>
    <w:pPr>
      <w:spacing w:before="100" w:beforeAutospacing="1" w:after="100" w:afterAutospacing="1" w:line="240" w:lineRule="auto"/>
      <w:jc w:val="left"/>
    </w:pPr>
    <w:rPr>
      <w:rFonts w:eastAsia="Times New Roman" w:cs="Times New Roman"/>
      <w:sz w:val="24"/>
      <w:szCs w:val="24"/>
    </w:rPr>
  </w:style>
  <w:style w:type="character" w:customStyle="1" w:styleId="cf11">
    <w:name w:val="cf11"/>
    <w:basedOn w:val="DefaultParagraphFont"/>
    <w:rsid w:val="001D3627"/>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9387">
      <w:bodyDiv w:val="1"/>
      <w:marLeft w:val="0"/>
      <w:marRight w:val="0"/>
      <w:marTop w:val="0"/>
      <w:marBottom w:val="0"/>
      <w:divBdr>
        <w:top w:val="none" w:sz="0" w:space="0" w:color="auto"/>
        <w:left w:val="none" w:sz="0" w:space="0" w:color="auto"/>
        <w:bottom w:val="none" w:sz="0" w:space="0" w:color="auto"/>
        <w:right w:val="none" w:sz="0" w:space="0" w:color="auto"/>
      </w:divBdr>
    </w:div>
    <w:div w:id="90054118">
      <w:bodyDiv w:val="1"/>
      <w:marLeft w:val="0"/>
      <w:marRight w:val="0"/>
      <w:marTop w:val="0"/>
      <w:marBottom w:val="0"/>
      <w:divBdr>
        <w:top w:val="none" w:sz="0" w:space="0" w:color="auto"/>
        <w:left w:val="none" w:sz="0" w:space="0" w:color="auto"/>
        <w:bottom w:val="none" w:sz="0" w:space="0" w:color="auto"/>
        <w:right w:val="none" w:sz="0" w:space="0" w:color="auto"/>
      </w:divBdr>
    </w:div>
    <w:div w:id="273559638">
      <w:bodyDiv w:val="1"/>
      <w:marLeft w:val="0"/>
      <w:marRight w:val="0"/>
      <w:marTop w:val="0"/>
      <w:marBottom w:val="0"/>
      <w:divBdr>
        <w:top w:val="none" w:sz="0" w:space="0" w:color="auto"/>
        <w:left w:val="none" w:sz="0" w:space="0" w:color="auto"/>
        <w:bottom w:val="none" w:sz="0" w:space="0" w:color="auto"/>
        <w:right w:val="none" w:sz="0" w:space="0" w:color="auto"/>
      </w:divBdr>
    </w:div>
    <w:div w:id="316342992">
      <w:bodyDiv w:val="1"/>
      <w:marLeft w:val="0"/>
      <w:marRight w:val="0"/>
      <w:marTop w:val="0"/>
      <w:marBottom w:val="0"/>
      <w:divBdr>
        <w:top w:val="none" w:sz="0" w:space="0" w:color="auto"/>
        <w:left w:val="none" w:sz="0" w:space="0" w:color="auto"/>
        <w:bottom w:val="none" w:sz="0" w:space="0" w:color="auto"/>
        <w:right w:val="none" w:sz="0" w:space="0" w:color="auto"/>
      </w:divBdr>
    </w:div>
    <w:div w:id="367802145">
      <w:bodyDiv w:val="1"/>
      <w:marLeft w:val="0"/>
      <w:marRight w:val="0"/>
      <w:marTop w:val="0"/>
      <w:marBottom w:val="0"/>
      <w:divBdr>
        <w:top w:val="none" w:sz="0" w:space="0" w:color="auto"/>
        <w:left w:val="none" w:sz="0" w:space="0" w:color="auto"/>
        <w:bottom w:val="none" w:sz="0" w:space="0" w:color="auto"/>
        <w:right w:val="none" w:sz="0" w:space="0" w:color="auto"/>
      </w:divBdr>
    </w:div>
    <w:div w:id="392049844">
      <w:bodyDiv w:val="1"/>
      <w:marLeft w:val="0"/>
      <w:marRight w:val="0"/>
      <w:marTop w:val="0"/>
      <w:marBottom w:val="0"/>
      <w:divBdr>
        <w:top w:val="none" w:sz="0" w:space="0" w:color="auto"/>
        <w:left w:val="none" w:sz="0" w:space="0" w:color="auto"/>
        <w:bottom w:val="none" w:sz="0" w:space="0" w:color="auto"/>
        <w:right w:val="none" w:sz="0" w:space="0" w:color="auto"/>
      </w:divBdr>
    </w:div>
    <w:div w:id="502740673">
      <w:bodyDiv w:val="1"/>
      <w:marLeft w:val="0"/>
      <w:marRight w:val="0"/>
      <w:marTop w:val="0"/>
      <w:marBottom w:val="0"/>
      <w:divBdr>
        <w:top w:val="none" w:sz="0" w:space="0" w:color="auto"/>
        <w:left w:val="none" w:sz="0" w:space="0" w:color="auto"/>
        <w:bottom w:val="none" w:sz="0" w:space="0" w:color="auto"/>
        <w:right w:val="none" w:sz="0" w:space="0" w:color="auto"/>
      </w:divBdr>
    </w:div>
    <w:div w:id="515770085">
      <w:bodyDiv w:val="1"/>
      <w:marLeft w:val="0"/>
      <w:marRight w:val="0"/>
      <w:marTop w:val="0"/>
      <w:marBottom w:val="0"/>
      <w:divBdr>
        <w:top w:val="none" w:sz="0" w:space="0" w:color="auto"/>
        <w:left w:val="none" w:sz="0" w:space="0" w:color="auto"/>
        <w:bottom w:val="none" w:sz="0" w:space="0" w:color="auto"/>
        <w:right w:val="none" w:sz="0" w:space="0" w:color="auto"/>
      </w:divBdr>
    </w:div>
    <w:div w:id="524175670">
      <w:bodyDiv w:val="1"/>
      <w:marLeft w:val="0"/>
      <w:marRight w:val="0"/>
      <w:marTop w:val="0"/>
      <w:marBottom w:val="0"/>
      <w:divBdr>
        <w:top w:val="none" w:sz="0" w:space="0" w:color="auto"/>
        <w:left w:val="none" w:sz="0" w:space="0" w:color="auto"/>
        <w:bottom w:val="none" w:sz="0" w:space="0" w:color="auto"/>
        <w:right w:val="none" w:sz="0" w:space="0" w:color="auto"/>
      </w:divBdr>
    </w:div>
    <w:div w:id="617028614">
      <w:bodyDiv w:val="1"/>
      <w:marLeft w:val="0"/>
      <w:marRight w:val="0"/>
      <w:marTop w:val="0"/>
      <w:marBottom w:val="0"/>
      <w:divBdr>
        <w:top w:val="none" w:sz="0" w:space="0" w:color="auto"/>
        <w:left w:val="none" w:sz="0" w:space="0" w:color="auto"/>
        <w:bottom w:val="none" w:sz="0" w:space="0" w:color="auto"/>
        <w:right w:val="none" w:sz="0" w:space="0" w:color="auto"/>
      </w:divBdr>
    </w:div>
    <w:div w:id="705564335">
      <w:bodyDiv w:val="1"/>
      <w:marLeft w:val="0"/>
      <w:marRight w:val="0"/>
      <w:marTop w:val="0"/>
      <w:marBottom w:val="0"/>
      <w:divBdr>
        <w:top w:val="none" w:sz="0" w:space="0" w:color="auto"/>
        <w:left w:val="none" w:sz="0" w:space="0" w:color="auto"/>
        <w:bottom w:val="none" w:sz="0" w:space="0" w:color="auto"/>
        <w:right w:val="none" w:sz="0" w:space="0" w:color="auto"/>
      </w:divBdr>
    </w:div>
    <w:div w:id="727193261">
      <w:bodyDiv w:val="1"/>
      <w:marLeft w:val="0"/>
      <w:marRight w:val="0"/>
      <w:marTop w:val="0"/>
      <w:marBottom w:val="0"/>
      <w:divBdr>
        <w:top w:val="none" w:sz="0" w:space="0" w:color="auto"/>
        <w:left w:val="none" w:sz="0" w:space="0" w:color="auto"/>
        <w:bottom w:val="none" w:sz="0" w:space="0" w:color="auto"/>
        <w:right w:val="none" w:sz="0" w:space="0" w:color="auto"/>
      </w:divBdr>
    </w:div>
    <w:div w:id="763651855">
      <w:bodyDiv w:val="1"/>
      <w:marLeft w:val="0"/>
      <w:marRight w:val="0"/>
      <w:marTop w:val="0"/>
      <w:marBottom w:val="0"/>
      <w:divBdr>
        <w:top w:val="none" w:sz="0" w:space="0" w:color="auto"/>
        <w:left w:val="none" w:sz="0" w:space="0" w:color="auto"/>
        <w:bottom w:val="none" w:sz="0" w:space="0" w:color="auto"/>
        <w:right w:val="none" w:sz="0" w:space="0" w:color="auto"/>
      </w:divBdr>
    </w:div>
    <w:div w:id="874344745">
      <w:bodyDiv w:val="1"/>
      <w:marLeft w:val="0"/>
      <w:marRight w:val="0"/>
      <w:marTop w:val="0"/>
      <w:marBottom w:val="0"/>
      <w:divBdr>
        <w:top w:val="none" w:sz="0" w:space="0" w:color="auto"/>
        <w:left w:val="none" w:sz="0" w:space="0" w:color="auto"/>
        <w:bottom w:val="none" w:sz="0" w:space="0" w:color="auto"/>
        <w:right w:val="none" w:sz="0" w:space="0" w:color="auto"/>
      </w:divBdr>
    </w:div>
    <w:div w:id="883907154">
      <w:bodyDiv w:val="1"/>
      <w:marLeft w:val="0"/>
      <w:marRight w:val="0"/>
      <w:marTop w:val="0"/>
      <w:marBottom w:val="0"/>
      <w:divBdr>
        <w:top w:val="none" w:sz="0" w:space="0" w:color="auto"/>
        <w:left w:val="none" w:sz="0" w:space="0" w:color="auto"/>
        <w:bottom w:val="none" w:sz="0" w:space="0" w:color="auto"/>
        <w:right w:val="none" w:sz="0" w:space="0" w:color="auto"/>
      </w:divBdr>
    </w:div>
    <w:div w:id="1178229111">
      <w:bodyDiv w:val="1"/>
      <w:marLeft w:val="0"/>
      <w:marRight w:val="0"/>
      <w:marTop w:val="0"/>
      <w:marBottom w:val="0"/>
      <w:divBdr>
        <w:top w:val="none" w:sz="0" w:space="0" w:color="auto"/>
        <w:left w:val="none" w:sz="0" w:space="0" w:color="auto"/>
        <w:bottom w:val="none" w:sz="0" w:space="0" w:color="auto"/>
        <w:right w:val="none" w:sz="0" w:space="0" w:color="auto"/>
      </w:divBdr>
      <w:divsChild>
        <w:div w:id="440876364">
          <w:marLeft w:val="0"/>
          <w:marRight w:val="0"/>
          <w:marTop w:val="0"/>
          <w:marBottom w:val="0"/>
          <w:divBdr>
            <w:top w:val="none" w:sz="0" w:space="0" w:color="auto"/>
            <w:left w:val="none" w:sz="0" w:space="0" w:color="auto"/>
            <w:bottom w:val="none" w:sz="0" w:space="0" w:color="auto"/>
            <w:right w:val="none" w:sz="0" w:space="0" w:color="auto"/>
          </w:divBdr>
        </w:div>
        <w:div w:id="1052852934">
          <w:marLeft w:val="0"/>
          <w:marRight w:val="0"/>
          <w:marTop w:val="0"/>
          <w:marBottom w:val="0"/>
          <w:divBdr>
            <w:top w:val="none" w:sz="0" w:space="0" w:color="auto"/>
            <w:left w:val="none" w:sz="0" w:space="0" w:color="auto"/>
            <w:bottom w:val="none" w:sz="0" w:space="0" w:color="auto"/>
            <w:right w:val="none" w:sz="0" w:space="0" w:color="auto"/>
          </w:divBdr>
        </w:div>
      </w:divsChild>
    </w:div>
    <w:div w:id="1247685935">
      <w:bodyDiv w:val="1"/>
      <w:marLeft w:val="0"/>
      <w:marRight w:val="0"/>
      <w:marTop w:val="0"/>
      <w:marBottom w:val="0"/>
      <w:divBdr>
        <w:top w:val="none" w:sz="0" w:space="0" w:color="auto"/>
        <w:left w:val="none" w:sz="0" w:space="0" w:color="auto"/>
        <w:bottom w:val="none" w:sz="0" w:space="0" w:color="auto"/>
        <w:right w:val="none" w:sz="0" w:space="0" w:color="auto"/>
      </w:divBdr>
    </w:div>
    <w:div w:id="1461411187">
      <w:bodyDiv w:val="1"/>
      <w:marLeft w:val="0"/>
      <w:marRight w:val="0"/>
      <w:marTop w:val="0"/>
      <w:marBottom w:val="0"/>
      <w:divBdr>
        <w:top w:val="none" w:sz="0" w:space="0" w:color="auto"/>
        <w:left w:val="none" w:sz="0" w:space="0" w:color="auto"/>
        <w:bottom w:val="none" w:sz="0" w:space="0" w:color="auto"/>
        <w:right w:val="none" w:sz="0" w:space="0" w:color="auto"/>
      </w:divBdr>
      <w:divsChild>
        <w:div w:id="4480182">
          <w:marLeft w:val="0"/>
          <w:marRight w:val="0"/>
          <w:marTop w:val="0"/>
          <w:marBottom w:val="0"/>
          <w:divBdr>
            <w:top w:val="none" w:sz="0" w:space="0" w:color="auto"/>
            <w:left w:val="none" w:sz="0" w:space="0" w:color="auto"/>
            <w:bottom w:val="none" w:sz="0" w:space="0" w:color="auto"/>
            <w:right w:val="none" w:sz="0" w:space="0" w:color="auto"/>
          </w:divBdr>
        </w:div>
        <w:div w:id="178013058">
          <w:marLeft w:val="0"/>
          <w:marRight w:val="0"/>
          <w:marTop w:val="0"/>
          <w:marBottom w:val="0"/>
          <w:divBdr>
            <w:top w:val="none" w:sz="0" w:space="0" w:color="auto"/>
            <w:left w:val="none" w:sz="0" w:space="0" w:color="auto"/>
            <w:bottom w:val="none" w:sz="0" w:space="0" w:color="auto"/>
            <w:right w:val="none" w:sz="0" w:space="0" w:color="auto"/>
          </w:divBdr>
        </w:div>
        <w:div w:id="180247022">
          <w:marLeft w:val="0"/>
          <w:marRight w:val="0"/>
          <w:marTop w:val="0"/>
          <w:marBottom w:val="0"/>
          <w:divBdr>
            <w:top w:val="none" w:sz="0" w:space="0" w:color="auto"/>
            <w:left w:val="none" w:sz="0" w:space="0" w:color="auto"/>
            <w:bottom w:val="none" w:sz="0" w:space="0" w:color="auto"/>
            <w:right w:val="none" w:sz="0" w:space="0" w:color="auto"/>
          </w:divBdr>
        </w:div>
        <w:div w:id="200022473">
          <w:marLeft w:val="0"/>
          <w:marRight w:val="0"/>
          <w:marTop w:val="0"/>
          <w:marBottom w:val="0"/>
          <w:divBdr>
            <w:top w:val="none" w:sz="0" w:space="0" w:color="auto"/>
            <w:left w:val="none" w:sz="0" w:space="0" w:color="auto"/>
            <w:bottom w:val="none" w:sz="0" w:space="0" w:color="auto"/>
            <w:right w:val="none" w:sz="0" w:space="0" w:color="auto"/>
          </w:divBdr>
        </w:div>
        <w:div w:id="286860694">
          <w:marLeft w:val="0"/>
          <w:marRight w:val="0"/>
          <w:marTop w:val="0"/>
          <w:marBottom w:val="0"/>
          <w:divBdr>
            <w:top w:val="none" w:sz="0" w:space="0" w:color="auto"/>
            <w:left w:val="none" w:sz="0" w:space="0" w:color="auto"/>
            <w:bottom w:val="none" w:sz="0" w:space="0" w:color="auto"/>
            <w:right w:val="none" w:sz="0" w:space="0" w:color="auto"/>
          </w:divBdr>
        </w:div>
        <w:div w:id="460733588">
          <w:marLeft w:val="0"/>
          <w:marRight w:val="0"/>
          <w:marTop w:val="0"/>
          <w:marBottom w:val="0"/>
          <w:divBdr>
            <w:top w:val="none" w:sz="0" w:space="0" w:color="auto"/>
            <w:left w:val="none" w:sz="0" w:space="0" w:color="auto"/>
            <w:bottom w:val="none" w:sz="0" w:space="0" w:color="auto"/>
            <w:right w:val="none" w:sz="0" w:space="0" w:color="auto"/>
          </w:divBdr>
        </w:div>
        <w:div w:id="802695420">
          <w:marLeft w:val="0"/>
          <w:marRight w:val="0"/>
          <w:marTop w:val="0"/>
          <w:marBottom w:val="0"/>
          <w:divBdr>
            <w:top w:val="none" w:sz="0" w:space="0" w:color="auto"/>
            <w:left w:val="none" w:sz="0" w:space="0" w:color="auto"/>
            <w:bottom w:val="none" w:sz="0" w:space="0" w:color="auto"/>
            <w:right w:val="none" w:sz="0" w:space="0" w:color="auto"/>
          </w:divBdr>
        </w:div>
        <w:div w:id="1020739095">
          <w:marLeft w:val="0"/>
          <w:marRight w:val="0"/>
          <w:marTop w:val="0"/>
          <w:marBottom w:val="0"/>
          <w:divBdr>
            <w:top w:val="none" w:sz="0" w:space="0" w:color="auto"/>
            <w:left w:val="none" w:sz="0" w:space="0" w:color="auto"/>
            <w:bottom w:val="none" w:sz="0" w:space="0" w:color="auto"/>
            <w:right w:val="none" w:sz="0" w:space="0" w:color="auto"/>
          </w:divBdr>
        </w:div>
        <w:div w:id="1254240473">
          <w:marLeft w:val="0"/>
          <w:marRight w:val="0"/>
          <w:marTop w:val="0"/>
          <w:marBottom w:val="0"/>
          <w:divBdr>
            <w:top w:val="none" w:sz="0" w:space="0" w:color="auto"/>
            <w:left w:val="none" w:sz="0" w:space="0" w:color="auto"/>
            <w:bottom w:val="none" w:sz="0" w:space="0" w:color="auto"/>
            <w:right w:val="none" w:sz="0" w:space="0" w:color="auto"/>
          </w:divBdr>
        </w:div>
        <w:div w:id="1601599448">
          <w:marLeft w:val="0"/>
          <w:marRight w:val="0"/>
          <w:marTop w:val="0"/>
          <w:marBottom w:val="0"/>
          <w:divBdr>
            <w:top w:val="none" w:sz="0" w:space="0" w:color="auto"/>
            <w:left w:val="none" w:sz="0" w:space="0" w:color="auto"/>
            <w:bottom w:val="none" w:sz="0" w:space="0" w:color="auto"/>
            <w:right w:val="none" w:sz="0" w:space="0" w:color="auto"/>
          </w:divBdr>
        </w:div>
        <w:div w:id="1837500658">
          <w:marLeft w:val="0"/>
          <w:marRight w:val="0"/>
          <w:marTop w:val="0"/>
          <w:marBottom w:val="0"/>
          <w:divBdr>
            <w:top w:val="none" w:sz="0" w:space="0" w:color="auto"/>
            <w:left w:val="none" w:sz="0" w:space="0" w:color="auto"/>
            <w:bottom w:val="none" w:sz="0" w:space="0" w:color="auto"/>
            <w:right w:val="none" w:sz="0" w:space="0" w:color="auto"/>
          </w:divBdr>
        </w:div>
        <w:div w:id="1912232266">
          <w:marLeft w:val="0"/>
          <w:marRight w:val="0"/>
          <w:marTop w:val="0"/>
          <w:marBottom w:val="0"/>
          <w:divBdr>
            <w:top w:val="none" w:sz="0" w:space="0" w:color="auto"/>
            <w:left w:val="none" w:sz="0" w:space="0" w:color="auto"/>
            <w:bottom w:val="none" w:sz="0" w:space="0" w:color="auto"/>
            <w:right w:val="none" w:sz="0" w:space="0" w:color="auto"/>
          </w:divBdr>
        </w:div>
      </w:divsChild>
    </w:div>
    <w:div w:id="1477796363">
      <w:bodyDiv w:val="1"/>
      <w:marLeft w:val="0"/>
      <w:marRight w:val="0"/>
      <w:marTop w:val="0"/>
      <w:marBottom w:val="0"/>
      <w:divBdr>
        <w:top w:val="none" w:sz="0" w:space="0" w:color="auto"/>
        <w:left w:val="none" w:sz="0" w:space="0" w:color="auto"/>
        <w:bottom w:val="none" w:sz="0" w:space="0" w:color="auto"/>
        <w:right w:val="none" w:sz="0" w:space="0" w:color="auto"/>
      </w:divBdr>
    </w:div>
    <w:div w:id="1603413030">
      <w:bodyDiv w:val="1"/>
      <w:marLeft w:val="0"/>
      <w:marRight w:val="0"/>
      <w:marTop w:val="0"/>
      <w:marBottom w:val="0"/>
      <w:divBdr>
        <w:top w:val="none" w:sz="0" w:space="0" w:color="auto"/>
        <w:left w:val="none" w:sz="0" w:space="0" w:color="auto"/>
        <w:bottom w:val="none" w:sz="0" w:space="0" w:color="auto"/>
        <w:right w:val="none" w:sz="0" w:space="0" w:color="auto"/>
      </w:divBdr>
    </w:div>
    <w:div w:id="174151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5AIRPNAIUNRU-1328258698-26366</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https://nokia.sharepoint.com/sites/c5g/5gradio/_layouts/15/DocIdRedir.aspx?ID=5AIRPNAIUNRU-1328258698-26366</Url>
      <Description>5AIRPNAIUNRU-1328258698-26366</Description>
    </_dlc_DocIdUrl>
    <SharedWithUsers xmlns="3b34c8f0-1ef5-4d1e-bb66-517ce7fe7356">
      <UserInfo>
        <DisplayName>Kim Nielsen (Nokia)</DisplayName>
        <AccountId>17404</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C6A54-5DDC-4468-8A23-2A7A51608C15}">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2FBD9012-266E-4D50-BA1E-80BE63667C2A}">
  <ds:schemaRefs>
    <ds:schemaRef ds:uri="Microsoft.SharePoint.Taxonomy.ContentTypeSync"/>
  </ds:schemaRefs>
</ds:datastoreItem>
</file>

<file path=customXml/itemProps4.xml><?xml version="1.0" encoding="utf-8"?>
<ds:datastoreItem xmlns:ds="http://schemas.openxmlformats.org/officeDocument/2006/customXml" ds:itemID="{FB09A3DD-0ACE-41C7-BA71-65DA8A88841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5FEA895-196A-4CBD-AC3B-69130CAA1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9D2155-3AE7-4C66-9671-2E35C144060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3050</Words>
  <Characters>17389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20399</CharactersWithSpaces>
  <SharedDoc>false</SharedDoc>
  <HLinks>
    <vt:vector size="54" baseType="variant">
      <vt:variant>
        <vt:i4>1376305</vt:i4>
      </vt:variant>
      <vt:variant>
        <vt:i4>32</vt:i4>
      </vt:variant>
      <vt:variant>
        <vt:i4>0</vt:i4>
      </vt:variant>
      <vt:variant>
        <vt:i4>5</vt:i4>
      </vt:variant>
      <vt:variant>
        <vt:lpwstr/>
      </vt:variant>
      <vt:variant>
        <vt:lpwstr>_Toc146617772</vt:lpwstr>
      </vt:variant>
      <vt:variant>
        <vt:i4>1376305</vt:i4>
      </vt:variant>
      <vt:variant>
        <vt:i4>29</vt:i4>
      </vt:variant>
      <vt:variant>
        <vt:i4>0</vt:i4>
      </vt:variant>
      <vt:variant>
        <vt:i4>5</vt:i4>
      </vt:variant>
      <vt:variant>
        <vt:lpwstr/>
      </vt:variant>
      <vt:variant>
        <vt:lpwstr>_Toc146617771</vt:lpwstr>
      </vt:variant>
      <vt:variant>
        <vt:i4>1376305</vt:i4>
      </vt:variant>
      <vt:variant>
        <vt:i4>26</vt:i4>
      </vt:variant>
      <vt:variant>
        <vt:i4>0</vt:i4>
      </vt:variant>
      <vt:variant>
        <vt:i4>5</vt:i4>
      </vt:variant>
      <vt:variant>
        <vt:lpwstr/>
      </vt:variant>
      <vt:variant>
        <vt:lpwstr>_Toc146617770</vt:lpwstr>
      </vt:variant>
      <vt:variant>
        <vt:i4>1310769</vt:i4>
      </vt:variant>
      <vt:variant>
        <vt:i4>23</vt:i4>
      </vt:variant>
      <vt:variant>
        <vt:i4>0</vt:i4>
      </vt:variant>
      <vt:variant>
        <vt:i4>5</vt:i4>
      </vt:variant>
      <vt:variant>
        <vt:lpwstr/>
      </vt:variant>
      <vt:variant>
        <vt:lpwstr>_Toc146617769</vt:lpwstr>
      </vt:variant>
      <vt:variant>
        <vt:i4>1310769</vt:i4>
      </vt:variant>
      <vt:variant>
        <vt:i4>20</vt:i4>
      </vt:variant>
      <vt:variant>
        <vt:i4>0</vt:i4>
      </vt:variant>
      <vt:variant>
        <vt:i4>5</vt:i4>
      </vt:variant>
      <vt:variant>
        <vt:lpwstr/>
      </vt:variant>
      <vt:variant>
        <vt:lpwstr>_Toc146617768</vt:lpwstr>
      </vt:variant>
      <vt:variant>
        <vt:i4>1310769</vt:i4>
      </vt:variant>
      <vt:variant>
        <vt:i4>17</vt:i4>
      </vt:variant>
      <vt:variant>
        <vt:i4>0</vt:i4>
      </vt:variant>
      <vt:variant>
        <vt:i4>5</vt:i4>
      </vt:variant>
      <vt:variant>
        <vt:lpwstr/>
      </vt:variant>
      <vt:variant>
        <vt:lpwstr>_Toc146617767</vt:lpwstr>
      </vt:variant>
      <vt:variant>
        <vt:i4>1310769</vt:i4>
      </vt:variant>
      <vt:variant>
        <vt:i4>14</vt:i4>
      </vt:variant>
      <vt:variant>
        <vt:i4>0</vt:i4>
      </vt:variant>
      <vt:variant>
        <vt:i4>5</vt:i4>
      </vt:variant>
      <vt:variant>
        <vt:lpwstr/>
      </vt:variant>
      <vt:variant>
        <vt:lpwstr>_Toc146617766</vt:lpwstr>
      </vt:variant>
      <vt:variant>
        <vt:i4>1310769</vt:i4>
      </vt:variant>
      <vt:variant>
        <vt:i4>11</vt:i4>
      </vt:variant>
      <vt:variant>
        <vt:i4>0</vt:i4>
      </vt:variant>
      <vt:variant>
        <vt:i4>5</vt:i4>
      </vt:variant>
      <vt:variant>
        <vt:lpwstr/>
      </vt:variant>
      <vt:variant>
        <vt:lpwstr>_Toc146617765</vt:lpwstr>
      </vt:variant>
      <vt:variant>
        <vt:i4>1310769</vt:i4>
      </vt:variant>
      <vt:variant>
        <vt:i4>8</vt:i4>
      </vt:variant>
      <vt:variant>
        <vt:i4>0</vt:i4>
      </vt:variant>
      <vt:variant>
        <vt:i4>5</vt:i4>
      </vt:variant>
      <vt:variant>
        <vt:lpwstr/>
      </vt:variant>
      <vt:variant>
        <vt:lpwstr>_Toc146617764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2023-09-27T14:30:00Z</dcterms:created>
  <dcterms:modified xsi:type="dcterms:W3CDTF">2023-09-27T18:07:00Z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d1d6b0ad-cf27-4a06-929f-6712e986547b</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